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города Нижнего Новгорода</w:t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ind w:firstLine="709"/>
        <w:jc w:val="center"/>
        <w:spacing w:after="0" w:line="240" w:lineRule="auto"/>
        <w:tabs>
          <w:tab w:val="left" w:pos="7125" w:leader="none"/>
        </w:tabs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Состояние и развитие конкурентной среды на территории города Нижнего Новгорода</w:t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в 20</w:t>
      </w:r>
      <w:r>
        <w:rPr>
          <w:rFonts w:ascii="Times New Roman" w:hAnsi="Times New Roman"/>
          <w:b/>
          <w:sz w:val="36"/>
          <w:szCs w:val="36"/>
        </w:rPr>
        <w:t xml:space="preserve">2</w:t>
      </w:r>
      <w:r>
        <w:rPr>
          <w:rFonts w:ascii="Times New Roman" w:hAnsi="Times New Roman"/>
          <w:b/>
          <w:sz w:val="36"/>
          <w:szCs w:val="36"/>
        </w:rPr>
        <w:t xml:space="preserve">3 </w:t>
      </w:r>
      <w:r>
        <w:rPr>
          <w:rFonts w:ascii="Times New Roman" w:hAnsi="Times New Roman"/>
          <w:b/>
          <w:sz w:val="36"/>
          <w:szCs w:val="36"/>
        </w:rPr>
        <w:t xml:space="preserve">году</w:t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г. Нижний Новгород</w:t>
      </w: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32"/>
          <w:szCs w:val="32"/>
        </w:rPr>
        <w:t xml:space="preserve">202</w:t>
      </w:r>
      <w:r>
        <w:rPr>
          <w:rFonts w:ascii="Times New Roman" w:hAnsi="Times New Roman"/>
          <w:b/>
          <w:sz w:val="32"/>
          <w:szCs w:val="32"/>
        </w:rPr>
        <w:t xml:space="preserve">4 год</w:t>
      </w:r>
      <w:r>
        <w:rPr>
          <w:rFonts w:ascii="Times New Roman" w:hAnsi="Times New Roman"/>
          <w:b/>
          <w:sz w:val="28"/>
          <w:szCs w:val="28"/>
          <w:highlight w:val="yellow"/>
        </w:rPr>
      </w:r>
      <w:r>
        <w:rPr>
          <w:rFonts w:ascii="Times New Roman" w:hAnsi="Times New Roman"/>
          <w:b/>
          <w:sz w:val="28"/>
          <w:szCs w:val="28"/>
          <w:highlight w:val="yellow"/>
        </w:rPr>
      </w:r>
    </w:p>
    <w:p>
      <w:pPr>
        <w:jc w:val="both"/>
        <w:spacing w:after="0" w:line="240" w:lineRule="auto"/>
        <w:rPr>
          <w:rFonts w:ascii="Times New Roman" w:hAnsi="Times New Roman"/>
          <w:color w:val="ff0000"/>
          <w:sz w:val="24"/>
          <w:szCs w:val="24"/>
          <w:highlight w:val="yellow"/>
        </w:rPr>
      </w:pPr>
      <w:r>
        <w:rPr>
          <w:rFonts w:ascii="Times New Roman" w:hAnsi="Times New Roman"/>
          <w:color w:val="ff0000"/>
          <w:sz w:val="24"/>
          <w:szCs w:val="24"/>
          <w:highlight w:val="yellow"/>
        </w:rPr>
        <w:br w:type="page" w:clear="all"/>
      </w:r>
      <w:r>
        <w:rPr>
          <w:rFonts w:ascii="Times New Roman" w:hAnsi="Times New Roman"/>
          <w:color w:val="ff0000"/>
          <w:sz w:val="24"/>
          <w:szCs w:val="24"/>
          <w:highlight w:val="yellow"/>
        </w:rPr>
      </w:r>
      <w:r>
        <w:rPr>
          <w:rFonts w:ascii="Times New Roman" w:hAnsi="Times New Roman"/>
          <w:color w:val="ff0000"/>
          <w:sz w:val="24"/>
          <w:szCs w:val="24"/>
          <w:highlight w:val="yellow"/>
        </w:rPr>
      </w:r>
    </w:p>
    <w:p>
      <w:pPr>
        <w:pStyle w:val="917"/>
        <w:ind w:left="425"/>
        <w:jc w:val="both"/>
        <w:spacing w:before="240" w:after="120" w:line="240" w:lineRule="auto"/>
        <w:rPr>
          <w:rFonts w:ascii="Times New Roman" w:hAnsi="Times New Roman"/>
          <w:b/>
          <w:sz w:val="32"/>
          <w:szCs w:val="32"/>
          <w:u w:val="single"/>
        </w:rPr>
        <w:outlineLvl w:val="0"/>
      </w:pPr>
      <w:r/>
      <w:bookmarkStart w:id="0" w:name="_Toc101952217"/>
      <w:r>
        <w:rPr>
          <w:rFonts w:ascii="Times New Roman" w:hAnsi="Times New Roman"/>
          <w:b/>
          <w:sz w:val="32"/>
          <w:szCs w:val="32"/>
          <w:u w:val="single"/>
        </w:rPr>
        <w:t xml:space="preserve">1.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Введение</w:t>
      </w:r>
      <w:bookmarkEnd w:id="0"/>
      <w:r>
        <w:rPr>
          <w:rFonts w:ascii="Times New Roman" w:hAnsi="Times New Roman"/>
          <w:b/>
          <w:sz w:val="32"/>
          <w:szCs w:val="32"/>
          <w:u w:val="single"/>
        </w:rPr>
      </w:r>
      <w:r>
        <w:rPr>
          <w:rFonts w:ascii="Times New Roman" w:hAnsi="Times New Roman"/>
          <w:b/>
          <w:sz w:val="32"/>
          <w:szCs w:val="32"/>
          <w:u w:val="singl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16"/>
          <w:szCs w:val="16"/>
          <w:highlight w:val="yellow"/>
        </w:rPr>
      </w:pPr>
      <w:r>
        <w:rPr>
          <w:rFonts w:ascii="Times New Roman" w:hAnsi="Times New Roman"/>
          <w:sz w:val="16"/>
          <w:szCs w:val="16"/>
          <w:highlight w:val="yellow"/>
        </w:rPr>
      </w:r>
      <w:r>
        <w:rPr>
          <w:rFonts w:ascii="Times New Roman" w:hAnsi="Times New Roman"/>
          <w:sz w:val="16"/>
          <w:szCs w:val="16"/>
          <w:highlight w:val="yellow"/>
        </w:rPr>
      </w:r>
      <w:r>
        <w:rPr>
          <w:rFonts w:ascii="Times New Roman" w:hAnsi="Times New Roman"/>
          <w:sz w:val="16"/>
          <w:szCs w:val="16"/>
          <w:highlight w:val="yellow"/>
        </w:rPr>
      </w:r>
    </w:p>
    <w:p>
      <w:pPr>
        <w:pStyle w:val="917"/>
        <w:ind w:left="0" w:firstLine="676"/>
        <w:jc w:val="both"/>
        <w:spacing w:after="0" w:line="240" w:lineRule="auto"/>
        <w:tabs>
          <w:tab w:val="left" w:pos="33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аналитический материал подготовлен во исполнение</w:t>
      </w:r>
      <w:r>
        <w:rPr>
          <w:rFonts w:ascii="Times New Roman" w:hAnsi="Times New Roman"/>
          <w:sz w:val="28"/>
          <w:szCs w:val="28"/>
        </w:rPr>
        <w:t xml:space="preserve"> требований Стандарта развития конкуренции в субъектах Российской Федерации, утвержденного распоряжением Правительства Российской Федерации от 17.04.2019 № 768-р, п.1.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Ведомственного плана мероприятий («дорожная карта») по содействию развитию конкуренции в городском округе город Нижний Новгород, утвержденного распоряжением администрации города Нижнего Новгорода от </w:t>
      </w:r>
      <w:r>
        <w:rPr>
          <w:rFonts w:ascii="Times New Roman" w:hAnsi="Times New Roman"/>
          <w:sz w:val="28"/>
          <w:szCs w:val="28"/>
        </w:rPr>
        <w:t xml:space="preserve">30.05.2022 № 310-р, п.1.3.1 </w:t>
      </w:r>
      <w:r>
        <w:rPr>
          <w:rFonts w:ascii="Times New Roman" w:hAnsi="Times New Roman"/>
          <w:sz w:val="28"/>
          <w:szCs w:val="28"/>
        </w:rPr>
        <w:t xml:space="preserve">(далее – Ведомственный план)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конкурентной среды проведен на основе: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данных официальной статистической отчетности;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информации, представленной Нижегородским УФАС России;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информация, представленная Нижегородской ТПП Палатой;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результатов оценки со стороны общественных организаций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действующих в интересах предпринимателей и потребителей.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0"/>
        <w:jc w:val="both"/>
        <w:rPr>
          <w:b/>
          <w:color w:val="auto"/>
          <w:sz w:val="32"/>
          <w:szCs w:val="32"/>
          <w:u w:val="single"/>
        </w:rPr>
      </w:pPr>
      <w:r/>
      <w:bookmarkStart w:id="1" w:name="_Toc101952218"/>
      <w:r>
        <w:rPr>
          <w:b/>
          <w:color w:val="auto"/>
          <w:sz w:val="32"/>
          <w:szCs w:val="32"/>
          <w:u w:val="single"/>
        </w:rPr>
        <w:t xml:space="preserve">2. Состояние конкурентной среды в городе Нижнем Новгороде</w:t>
      </w:r>
      <w:bookmarkEnd w:id="1"/>
      <w:r>
        <w:rPr>
          <w:b/>
          <w:color w:val="auto"/>
          <w:sz w:val="32"/>
          <w:szCs w:val="32"/>
          <w:u w:val="single"/>
        </w:rPr>
      </w:r>
      <w:r>
        <w:rPr>
          <w:b/>
          <w:color w:val="auto"/>
          <w:sz w:val="32"/>
          <w:szCs w:val="32"/>
          <w:u w:val="single"/>
        </w:rPr>
      </w:r>
    </w:p>
    <w:p>
      <w:pPr>
        <w:pStyle w:val="910"/>
        <w:jc w:val="center"/>
        <w:spacing w:before="240" w:after="120"/>
        <w:rPr>
          <w:b/>
          <w:i/>
          <w:color w:val="auto"/>
          <w:sz w:val="32"/>
          <w:szCs w:val="32"/>
          <w:highlight w:val="yellow"/>
          <w:lang w:eastAsia="en-US"/>
        </w:rPr>
      </w:pPr>
      <w:r/>
      <w:bookmarkStart w:id="2" w:name="_Toc101952219"/>
      <w:r>
        <w:rPr>
          <w:b/>
          <w:i/>
          <w:color w:val="auto"/>
          <w:sz w:val="32"/>
          <w:szCs w:val="32"/>
          <w:lang w:eastAsia="en-US"/>
        </w:rPr>
        <w:t xml:space="preserve">2.1. Структурные показатели</w:t>
      </w:r>
      <w:bookmarkEnd w:id="2"/>
      <w:r>
        <w:rPr>
          <w:b/>
          <w:i/>
          <w:color w:val="auto"/>
          <w:sz w:val="32"/>
          <w:szCs w:val="32"/>
          <w:highlight w:val="yellow"/>
          <w:lang w:eastAsia="en-US"/>
        </w:rPr>
      </w:r>
      <w:r>
        <w:rPr>
          <w:b/>
          <w:i/>
          <w:color w:val="auto"/>
          <w:sz w:val="32"/>
          <w:szCs w:val="32"/>
          <w:highlight w:val="yellow"/>
          <w:lang w:eastAsia="en-US"/>
        </w:rPr>
      </w:r>
    </w:p>
    <w:p>
      <w:pPr>
        <w:pStyle w:val="917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 официальной статистической отчетности число зарегистрированных предприя</w:t>
      </w:r>
      <w:r>
        <w:rPr>
          <w:rFonts w:ascii="Times New Roman" w:hAnsi="Times New Roman"/>
          <w:sz w:val="28"/>
          <w:szCs w:val="28"/>
        </w:rPr>
        <w:t xml:space="preserve">тий и организаций </w:t>
      </w:r>
      <w:r>
        <w:rPr>
          <w:rFonts w:ascii="Times New Roman" w:hAnsi="Times New Roman"/>
          <w:sz w:val="28"/>
          <w:szCs w:val="28"/>
        </w:rPr>
        <w:t xml:space="preserve">на территории города Нижнего Новгорода </w:t>
      </w:r>
      <w:r>
        <w:rPr>
          <w:rFonts w:ascii="Times New Roman" w:hAnsi="Times New Roman"/>
          <w:sz w:val="28"/>
          <w:szCs w:val="28"/>
        </w:rPr>
        <w:t xml:space="preserve">по состоянию на 0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января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4 года составило 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247</w:t>
      </w:r>
      <w:r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 xml:space="preserve"> (за 202</w:t>
      </w:r>
      <w:r>
        <w:rPr>
          <w:rFonts w:ascii="Times New Roman" w:hAnsi="Times New Roman"/>
          <w:sz w:val="28"/>
          <w:szCs w:val="28"/>
        </w:rPr>
        <w:t xml:space="preserve">2 – </w:t>
      </w:r>
      <w:r>
        <w:rPr>
          <w:rFonts w:ascii="Times New Roman" w:hAnsi="Times New Roman"/>
          <w:sz w:val="28"/>
          <w:szCs w:val="28"/>
        </w:rPr>
        <w:t xml:space="preserve">42 927</w:t>
      </w:r>
      <w:r>
        <w:rPr>
          <w:rFonts w:asciiTheme="minorHAnsi" w:hAnsiTheme="minorHAnsi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,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том числе: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7"/>
        <w:numPr>
          <w:ilvl w:val="0"/>
          <w:numId w:val="3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коммерческие организации, не относящиеся к субъектам малого и среднего </w:t>
      </w:r>
      <w:r>
        <w:rPr>
          <w:rFonts w:ascii="Times New Roman" w:hAnsi="Times New Roman"/>
          <w:sz w:val="28"/>
          <w:szCs w:val="28"/>
        </w:rPr>
        <w:t xml:space="preserve">предпринимательства –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658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единиц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636</w:t>
      </w:r>
      <w:r>
        <w:rPr>
          <w:rFonts w:ascii="Times New Roman" w:hAnsi="Times New Roman"/>
          <w:sz w:val="28"/>
          <w:szCs w:val="28"/>
        </w:rPr>
        <w:t xml:space="preserve"> ед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ниц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увеличение </w:t>
      </w:r>
      <w:r>
        <w:rPr>
          <w:rFonts w:ascii="Times New Roman" w:hAnsi="Times New Roman"/>
          <w:sz w:val="28"/>
          <w:szCs w:val="28"/>
        </w:rPr>
        <w:t xml:space="preserve">составило </w:t>
      </w:r>
      <w:r>
        <w:rPr>
          <w:rFonts w:ascii="Times New Roman" w:hAnsi="Times New Roman"/>
          <w:sz w:val="28"/>
          <w:szCs w:val="28"/>
        </w:rPr>
        <w:t xml:space="preserve">1,34 %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7"/>
        <w:numPr>
          <w:ilvl w:val="0"/>
          <w:numId w:val="3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средние предприятия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22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306</w:t>
      </w:r>
      <w:r>
        <w:rPr>
          <w:rFonts w:ascii="Times New Roman" w:hAnsi="Times New Roman"/>
          <w:sz w:val="28"/>
          <w:szCs w:val="28"/>
        </w:rPr>
        <w:t xml:space="preserve">) единиц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увеличение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5,</w:t>
      </w:r>
      <w:r>
        <w:rPr>
          <w:rFonts w:ascii="Times New Roman" w:hAnsi="Times New Roman"/>
          <w:sz w:val="28"/>
          <w:szCs w:val="28"/>
        </w:rPr>
        <w:t xml:space="preserve">23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7"/>
        <w:numPr>
          <w:ilvl w:val="0"/>
          <w:numId w:val="3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малые предприятия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3 025 </w:t>
      </w:r>
      <w:r>
        <w:rPr>
          <w:rFonts w:ascii="Times New Roman" w:hAnsi="Times New Roman"/>
          <w:sz w:val="28"/>
          <w:szCs w:val="28"/>
        </w:rPr>
        <w:t xml:space="preserve">(20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3 025</w:t>
      </w:r>
      <w:r>
        <w:rPr>
          <w:rFonts w:ascii="Times New Roman" w:hAnsi="Times New Roman"/>
          <w:sz w:val="28"/>
          <w:szCs w:val="28"/>
        </w:rPr>
        <w:t xml:space="preserve">) единиц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7"/>
        <w:numPr>
          <w:ilvl w:val="0"/>
          <w:numId w:val="3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микропредприятия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31 512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) единиц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снижение на </w:t>
      </w:r>
      <w:r>
        <w:rPr>
          <w:rFonts w:ascii="Times New Roman" w:hAnsi="Times New Roman"/>
          <w:sz w:val="28"/>
          <w:szCs w:val="28"/>
        </w:rPr>
        <w:t xml:space="preserve">5,59</w:t>
      </w:r>
      <w:r>
        <w:rPr>
          <w:rFonts w:ascii="Times New Roman" w:hAnsi="Times New Roman"/>
          <w:sz w:val="28"/>
          <w:szCs w:val="28"/>
        </w:rPr>
        <w:t xml:space="preserve">%;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7"/>
        <w:numPr>
          <w:ilvl w:val="0"/>
          <w:numId w:val="3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некоммерческие</w:t>
      </w:r>
      <w:r>
        <w:rPr>
          <w:rFonts w:ascii="Times New Roman" w:hAnsi="Times New Roman"/>
          <w:sz w:val="28"/>
          <w:szCs w:val="28"/>
        </w:rPr>
        <w:t xml:space="preserve">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4 730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(202</w:t>
      </w:r>
      <w:r>
        <w:rPr>
          <w:rFonts w:ascii="Times New Roman" w:hAnsi="Times New Roman"/>
          <w:sz w:val="28"/>
          <w:szCs w:val="28"/>
        </w:rPr>
        <w:t xml:space="preserve">2–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4 </w:t>
      </w:r>
      <w:r>
        <w:rPr>
          <w:rFonts w:ascii="Times New Roman" w:hAnsi="Times New Roman"/>
          <w:sz w:val="28"/>
          <w:szCs w:val="28"/>
        </w:rPr>
        <w:t xml:space="preserve">686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ниц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увеличение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0,94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7"/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 2017 года число зарегистрированных организаций в Нижегородской области, так же, как и в среднем по России, во всех регионах ПФО, начало сокращаться.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3 год числ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предприятий и организаций </w:t>
      </w:r>
      <w:r>
        <w:rPr>
          <w:rFonts w:ascii="Times New Roman" w:hAnsi="Times New Roman"/>
          <w:sz w:val="28"/>
          <w:szCs w:val="28"/>
        </w:rPr>
        <w:t xml:space="preserve">сократилось на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1 680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единиц</w:t>
      </w:r>
      <w:r>
        <w:rPr>
          <w:rFonts w:ascii="Times New Roman" w:hAnsi="Times New Roman"/>
          <w:sz w:val="28"/>
          <w:szCs w:val="28"/>
        </w:rPr>
        <w:t xml:space="preserve"> или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4,07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%.</w:t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917"/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отметить, что одним из факторов снижения количества организаций является обеспечение достоверности сведений в </w:t>
      </w:r>
      <w:r>
        <w:rPr>
          <w:rFonts w:ascii="Times New Roman" w:hAnsi="Times New Roman"/>
          <w:sz w:val="28"/>
          <w:szCs w:val="28"/>
        </w:rPr>
        <w:t xml:space="preserve">Едином государственном реестре юридических лиц</w:t>
      </w:r>
      <w:r>
        <w:rPr>
          <w:rFonts w:ascii="Times New Roman" w:hAnsi="Times New Roman"/>
          <w:sz w:val="28"/>
          <w:szCs w:val="28"/>
        </w:rPr>
        <w:t xml:space="preserve">, что способствует противодействию возникновени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фиктивных компаний и созданию условий </w:t>
      </w:r>
      <w:r>
        <w:rPr>
          <w:rFonts w:ascii="Times New Roman" w:hAnsi="Times New Roman"/>
          <w:sz w:val="28"/>
          <w:szCs w:val="28"/>
        </w:rPr>
        <w:t xml:space="preserve">для здоровой конкуренции.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Число зарегистрированных индивидуальных</w:t>
      </w:r>
      <w:r>
        <w:rPr>
          <w:rFonts w:ascii="Times New Roman" w:hAnsi="Times New Roman"/>
          <w:sz w:val="28"/>
          <w:szCs w:val="28"/>
        </w:rPr>
        <w:t xml:space="preserve"> предпринимателей </w:t>
      </w:r>
      <w:r>
        <w:rPr>
          <w:rFonts w:ascii="Times New Roman" w:hAnsi="Times New Roman"/>
          <w:sz w:val="28"/>
          <w:szCs w:val="28"/>
        </w:rPr>
        <w:t xml:space="preserve">на территории города Нижнего Новгорода </w:t>
      </w:r>
      <w:r>
        <w:rPr>
          <w:rFonts w:ascii="Times New Roman" w:hAnsi="Times New Roman"/>
          <w:sz w:val="28"/>
          <w:szCs w:val="28"/>
        </w:rPr>
        <w:t xml:space="preserve">за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3 года сост</w:t>
      </w:r>
      <w:r>
        <w:rPr>
          <w:rFonts w:ascii="Times New Roman" w:hAnsi="Times New Roman"/>
          <w:sz w:val="28"/>
          <w:szCs w:val="28"/>
        </w:rPr>
        <w:t xml:space="preserve">авило </w:t>
      </w:r>
      <w:r>
        <w:rPr>
          <w:rFonts w:ascii="Times New Roman" w:hAnsi="Times New Roman"/>
          <w:sz w:val="28"/>
          <w:szCs w:val="28"/>
        </w:rPr>
        <w:t xml:space="preserve">37 539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ниц</w:t>
      </w:r>
      <w:r>
        <w:rPr>
          <w:rFonts w:ascii="Times New Roman" w:hAnsi="Times New Roman"/>
          <w:sz w:val="28"/>
          <w:szCs w:val="28"/>
        </w:rPr>
        <w:t xml:space="preserve"> (20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745</w:t>
      </w:r>
      <w:r>
        <w:rPr>
          <w:rFonts w:ascii="Times New Roman" w:hAnsi="Times New Roman"/>
          <w:sz w:val="28"/>
          <w:szCs w:val="28"/>
        </w:rPr>
        <w:t xml:space="preserve"> ед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ниц</w:t>
      </w:r>
      <w:r>
        <w:rPr>
          <w:rFonts w:ascii="Times New Roman" w:hAnsi="Times New Roman"/>
          <w:sz w:val="28"/>
          <w:szCs w:val="28"/>
        </w:rPr>
        <w:t xml:space="preserve">) и </w:t>
      </w:r>
      <w:r>
        <w:rPr>
          <w:rFonts w:ascii="Times New Roman" w:hAnsi="Times New Roman"/>
          <w:sz w:val="28"/>
          <w:szCs w:val="28"/>
        </w:rPr>
        <w:t xml:space="preserve">увеличилось</w:t>
      </w:r>
      <w:r>
        <w:rPr>
          <w:rFonts w:ascii="Times New Roman" w:hAnsi="Times New Roman"/>
          <w:sz w:val="28"/>
          <w:szCs w:val="28"/>
        </w:rPr>
        <w:t xml:space="preserve"> по сравнению с 20</w:t>
      </w:r>
      <w:r>
        <w:rPr>
          <w:rFonts w:ascii="Times New Roman" w:hAnsi="Times New Roman"/>
          <w:sz w:val="28"/>
          <w:szCs w:val="28"/>
        </w:rPr>
        <w:t xml:space="preserve">22</w:t>
      </w:r>
      <w:r>
        <w:rPr>
          <w:rFonts w:ascii="Times New Roman" w:hAnsi="Times New Roman"/>
          <w:sz w:val="28"/>
          <w:szCs w:val="28"/>
        </w:rPr>
        <w:t xml:space="preserve"> годом на </w:t>
      </w:r>
      <w:r>
        <w:rPr>
          <w:rFonts w:ascii="Times New Roman" w:hAnsi="Times New Roman"/>
          <w:sz w:val="28"/>
          <w:szCs w:val="28"/>
        </w:rPr>
        <w:t xml:space="preserve">3 794 </w:t>
      </w:r>
      <w:r>
        <w:rPr>
          <w:rFonts w:ascii="Times New Roman" w:hAnsi="Times New Roman"/>
          <w:sz w:val="28"/>
          <w:szCs w:val="28"/>
        </w:rPr>
        <w:t xml:space="preserve">ед</w:t>
      </w:r>
      <w:r>
        <w:rPr>
          <w:rFonts w:ascii="Times New Roman" w:hAnsi="Times New Roman"/>
          <w:sz w:val="28"/>
          <w:szCs w:val="28"/>
        </w:rPr>
        <w:t xml:space="preserve">иниц</w:t>
      </w:r>
      <w:r>
        <w:rPr>
          <w:rFonts w:ascii="Times New Roman" w:hAnsi="Times New Roman"/>
          <w:sz w:val="28"/>
          <w:szCs w:val="28"/>
        </w:rPr>
        <w:t xml:space="preserve"> или на </w:t>
      </w:r>
      <w:r>
        <w:rPr>
          <w:rFonts w:ascii="Times New Roman" w:hAnsi="Times New Roman"/>
          <w:sz w:val="28"/>
          <w:szCs w:val="28"/>
        </w:rPr>
        <w:t xml:space="preserve">11,24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lang w:eastAsia="en-US"/>
        </w:rPr>
        <w:t xml:space="preserve">В</w:t>
      </w:r>
      <w:r>
        <w:rPr>
          <w:rFonts w:ascii="Times New Roman" w:hAnsi="Times New Roman"/>
          <w:sz w:val="28"/>
          <w:szCs w:val="28"/>
          <w:lang w:eastAsia="en-US"/>
        </w:rPr>
        <w:t xml:space="preserve"> рамках реализации муниципальной программы был организован конкурсный отбор среди субъектов малого и среднего предпринимательства (далее - МСП) по предоставлению финансовой поддержки. В 2023 году сумма финансовой поддержки была увеличена: субсидии с 420 ты</w:t>
      </w:r>
      <w:r>
        <w:rPr>
          <w:rFonts w:ascii="Times New Roman" w:hAnsi="Times New Roman"/>
          <w:sz w:val="28"/>
          <w:szCs w:val="28"/>
          <w:lang w:eastAsia="en-US"/>
        </w:rPr>
        <w:t xml:space="preserve">с.руб. до 600 тыс.руб., гранты с 100 тыс.руб. до 200 тыс.руб.</w:t>
      </w:r>
      <w:r>
        <w:rPr>
          <w:rFonts w:ascii="Times New Roman" w:hAnsi="Times New Roman"/>
          <w:sz w:val="28"/>
          <w:szCs w:val="28"/>
          <w:lang w:eastAsia="en-US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lang w:eastAsia="en-US"/>
        </w:rPr>
        <w:t xml:space="preserve">По итогам конкурсного отбора, субсидии получили 107 предпринимателей на общую сумму выплат около 44 млн.руб.</w:t>
      </w:r>
      <w:r>
        <w:rPr>
          <w:rFonts w:ascii="Times New Roman" w:hAnsi="Times New Roman"/>
          <w:sz w:val="28"/>
          <w:szCs w:val="28"/>
          <w:lang w:eastAsia="en-US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lang w:eastAsia="en-US"/>
        </w:rPr>
        <w:t xml:space="preserve">В</w:t>
      </w:r>
      <w:r>
        <w:rPr>
          <w:rFonts w:ascii="Times New Roman" w:hAnsi="Times New Roman"/>
          <w:sz w:val="28"/>
          <w:szCs w:val="28"/>
          <w:lang w:eastAsia="en-US"/>
        </w:rPr>
        <w:t xml:space="preserve"> структуре АНО «Центр поддержки предпринимательства города Нижнего Новгорода» (далее – АНО «ЦПП»), осуществлялось консультирование граждан и представителей предпринимательского сообщества. Проводились очные прие</w:t>
      </w:r>
      <w:r>
        <w:rPr>
          <w:rFonts w:ascii="Times New Roman" w:hAnsi="Times New Roman"/>
          <w:sz w:val="28"/>
          <w:szCs w:val="28"/>
          <w:lang w:eastAsia="en-US"/>
        </w:rPr>
        <w:t xml:space="preserve">мы специалистов федеральных контролирующих органов. По поручению главы города с марта 2023 года руководители и специалисты структурных подразделений администрации города Нижнего Новгорода начали проводить приемы в Окнах «Мой бизнес».</w:t>
      </w:r>
      <w:r>
        <w:rPr>
          <w:rFonts w:ascii="Times New Roman" w:hAnsi="Times New Roman"/>
          <w:sz w:val="28"/>
          <w:szCs w:val="28"/>
          <w:lang w:eastAsia="en-US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lang w:eastAsia="en-US"/>
        </w:rPr>
        <w:t xml:space="preserve">Всего за 2023 год было оказано 4 759 консультаций (в 2022г. – 4 406).</w:t>
      </w:r>
      <w:r>
        <w:rPr>
          <w:rFonts w:ascii="Times New Roman" w:hAnsi="Times New Roman"/>
          <w:sz w:val="28"/>
          <w:szCs w:val="28"/>
          <w:lang w:eastAsia="en-US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lang w:eastAsia="en-US"/>
        </w:rPr>
        <w:t xml:space="preserve">В том числе А</w:t>
      </w:r>
      <w:r>
        <w:rPr>
          <w:rFonts w:ascii="Times New Roman" w:hAnsi="Times New Roman"/>
          <w:sz w:val="28"/>
          <w:szCs w:val="28"/>
          <w:lang w:eastAsia="en-US"/>
        </w:rPr>
        <w:t xml:space="preserve">НО «ЦПП» было оказано более 1 тыс. консультаций, в рамках реализации постановления Правительства Нижегородской области от 12.02.2004 года № 27«О социальной поддержке малоимущих семей или малоимущих одиноко проживающих граждан», для получения единовременной</w:t>
      </w:r>
      <w:r>
        <w:rPr>
          <w:rFonts w:ascii="Times New Roman" w:hAnsi="Times New Roman"/>
          <w:sz w:val="28"/>
          <w:szCs w:val="28"/>
          <w:lang w:eastAsia="en-US"/>
        </w:rPr>
        <w:t xml:space="preserve"> выплаты в размере 350 тыс. руб.</w:t>
      </w:r>
      <w:r>
        <w:rPr>
          <w:rFonts w:ascii="Times New Roman" w:hAnsi="Times New Roman"/>
          <w:sz w:val="28"/>
          <w:szCs w:val="28"/>
          <w:lang w:eastAsia="en-US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lang w:eastAsia="en-US"/>
        </w:rPr>
        <w:t xml:space="preserve">В социальных сетях было размещено более 370 публикаций с юридической информацией о действующих мерах поддержки предпринимательства (охват более 145 тыс. пользователей).</w:t>
      </w:r>
      <w:r>
        <w:rPr>
          <w:rFonts w:ascii="Times New Roman" w:hAnsi="Times New Roman"/>
          <w:sz w:val="28"/>
          <w:szCs w:val="28"/>
          <w:lang w:eastAsia="en-US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lang w:eastAsia="en-US"/>
        </w:rPr>
        <w:t xml:space="preserve">В</w:t>
      </w:r>
      <w:r>
        <w:rPr>
          <w:rFonts w:ascii="Times New Roman" w:hAnsi="Times New Roman"/>
          <w:sz w:val="28"/>
          <w:szCs w:val="28"/>
          <w:lang w:eastAsia="en-US"/>
        </w:rPr>
        <w:t xml:space="preserve"> течение 2023 года было организовано и принято участие в 125 мероприятиях с субъектами предпринимательской деятельности, направленных на популяризацию и развитие предпринимательской деятельности, в их числе: встреча главы города с бизнес-сообществом, между</w:t>
      </w:r>
      <w:r>
        <w:rPr>
          <w:rFonts w:ascii="Times New Roman" w:hAnsi="Times New Roman"/>
          <w:sz w:val="28"/>
          <w:szCs w:val="28"/>
          <w:lang w:eastAsia="en-US"/>
        </w:rPr>
        <w:t xml:space="preserve">народный форум «Бизнес Интуиция», форум «От идеи до бизнеса» и пр.</w:t>
      </w:r>
      <w:r>
        <w:rPr>
          <w:rFonts w:ascii="Times New Roman" w:hAnsi="Times New Roman"/>
          <w:sz w:val="28"/>
          <w:szCs w:val="28"/>
          <w:lang w:eastAsia="en-US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lang w:eastAsia="en-US"/>
        </w:rPr>
        <w:t xml:space="preserve">С целью поддержки нижегородских предпринимателей администрацией города в 2023 году были приняты:</w:t>
      </w:r>
      <w:r>
        <w:rPr>
          <w:rFonts w:ascii="Times New Roman" w:hAnsi="Times New Roman"/>
          <w:sz w:val="28"/>
          <w:szCs w:val="28"/>
          <w:lang w:eastAsia="en-US"/>
        </w:rPr>
      </w:r>
      <w:r/>
    </w:p>
    <w:p>
      <w:pPr>
        <w:pStyle w:val="917"/>
        <w:numPr>
          <w:ilvl w:val="0"/>
          <w:numId w:val="35"/>
        </w:numPr>
        <w:ind w:left="709" w:right="0" w:hanging="36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</w:t>
      </w:r>
      <w:r>
        <w:rPr>
          <w:rFonts w:ascii="Times New Roman" w:hAnsi="Times New Roman"/>
          <w:sz w:val="28"/>
          <w:szCs w:val="28"/>
          <w:lang w:eastAsia="en-US"/>
        </w:rPr>
        <w:t xml:space="preserve">остановление администрации города Нижнего Новгорода от 26.05.2023 № 3348 «О мерах поддержки субъектов малого и среднего предпринимательства в 2023 году» (упрощенный порядок заключения договоров на размещение НТО; снятие административных барьеров в части не</w:t>
      </w:r>
      <w:r>
        <w:rPr>
          <w:rFonts w:ascii="Times New Roman" w:hAnsi="Times New Roman"/>
          <w:sz w:val="28"/>
          <w:szCs w:val="28"/>
          <w:lang w:eastAsia="en-US"/>
        </w:rPr>
        <w:t xml:space="preserve">обходимости согласования отдельных документов требуемых для заключения договора на размещение НТО; предоставление приоритетного права на заключение договора на размещение автолавок нижегородскими сельхозтоваропроизводителями);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917"/>
        <w:numPr>
          <w:ilvl w:val="0"/>
          <w:numId w:val="35"/>
        </w:numPr>
        <w:ind w:left="709" w:right="0" w:hanging="36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  <w:t xml:space="preserve">постановление администрации города Нижнего Новгорода от 10.11.2023 № 8198 «О порядке отведения мест осуществления разносной торговли на территории города Нижнего Новгорода».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910"/>
        <w:jc w:val="center"/>
        <w:rPr>
          <w:color w:val="auto"/>
          <w:sz w:val="20"/>
          <w:szCs w:val="20"/>
        </w:rPr>
      </w:pPr>
      <w:r/>
      <w:bookmarkStart w:id="3" w:name="_Toc101952221"/>
      <w:r>
        <w:rPr>
          <w:b/>
          <w:i/>
          <w:color w:val="auto"/>
          <w:sz w:val="32"/>
          <w:szCs w:val="32"/>
          <w:lang w:eastAsia="en-US"/>
        </w:rPr>
        <w:t xml:space="preserve">2.</w:t>
      </w:r>
      <w:r>
        <w:rPr>
          <w:b/>
          <w:i/>
          <w:color w:val="auto"/>
          <w:sz w:val="32"/>
          <w:szCs w:val="32"/>
          <w:lang w:eastAsia="en-US"/>
        </w:rPr>
        <w:t xml:space="preserve">2</w:t>
      </w:r>
      <w:r>
        <w:rPr>
          <w:b/>
          <w:i/>
          <w:color w:val="auto"/>
          <w:sz w:val="32"/>
          <w:szCs w:val="32"/>
          <w:lang w:eastAsia="en-US"/>
        </w:rPr>
        <w:t xml:space="preserve">. </w:t>
      </w:r>
      <w:r>
        <w:rPr>
          <w:b/>
          <w:i/>
          <w:color w:val="auto"/>
          <w:sz w:val="32"/>
          <w:szCs w:val="32"/>
          <w:lang w:eastAsia="en-US"/>
        </w:rPr>
        <w:t xml:space="preserve">Информация Нижегородского УФАС России по состоянию конкуренции в Нижегородской области, городе Нижнем Новгороде</w:t>
      </w:r>
      <w:bookmarkEnd w:id="3"/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188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рамках осуществления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контроля за</w:t>
      </w:r>
      <w:r>
        <w:rPr>
          <w:rFonts w:ascii="Times New Roman" w:hAnsi="Times New Roman"/>
          <w:color w:val="000000"/>
          <w:sz w:val="28"/>
          <w:szCs w:val="28"/>
        </w:rPr>
        <w:t xml:space="preserve"> соблюдением на территории Нижегородской области антимонопольного законодательства в 202</w:t>
      </w:r>
      <w:r>
        <w:rPr>
          <w:rFonts w:ascii="Times New Roman" w:hAnsi="Times New Roman"/>
          <w:color w:val="000000"/>
          <w:sz w:val="28"/>
          <w:szCs w:val="28"/>
        </w:rPr>
        <w:t xml:space="preserve">3 году Нижегородским УФАС России рассмотрено </w:t>
      </w:r>
      <w:r>
        <w:rPr>
          <w:rFonts w:ascii="Times New Roman" w:hAnsi="Times New Roman"/>
          <w:color w:val="000000"/>
          <w:sz w:val="28"/>
          <w:szCs w:val="28"/>
        </w:rPr>
        <w:t xml:space="preserve">503 </w:t>
      </w:r>
      <w:r>
        <w:rPr>
          <w:rFonts w:ascii="Times New Roman" w:hAnsi="Times New Roman"/>
          <w:color w:val="000000"/>
          <w:sz w:val="28"/>
          <w:szCs w:val="28"/>
        </w:rPr>
        <w:t xml:space="preserve">обращения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(2022 - 913)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действия хозяйствующих субъектов, расположенных на территории города Нижнего Но</w:t>
      </w:r>
      <w:r>
        <w:rPr>
          <w:rFonts w:ascii="Times New Roman" w:hAnsi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/>
          <w:color w:val="000000"/>
          <w:sz w:val="28"/>
          <w:szCs w:val="28"/>
        </w:rPr>
        <w:t xml:space="preserve">города,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числе которых: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numPr>
          <w:ilvl w:val="0"/>
          <w:numId w:val="25"/>
        </w:numPr>
        <w:ind w:left="567"/>
        <w:spacing w:after="0" w:line="240" w:lineRule="auto"/>
        <w:tabs>
          <w:tab w:val="left" w:pos="1188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 на рынке банковских услуг;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numPr>
          <w:ilvl w:val="0"/>
          <w:numId w:val="25"/>
        </w:numPr>
        <w:ind w:left="567"/>
        <w:spacing w:after="0" w:line="240" w:lineRule="auto"/>
        <w:tabs>
          <w:tab w:val="left" w:pos="1188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 на рынке страховых услуг;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numPr>
          <w:ilvl w:val="0"/>
          <w:numId w:val="25"/>
        </w:numPr>
        <w:ind w:left="567"/>
        <w:spacing w:after="0" w:line="240" w:lineRule="auto"/>
        <w:tabs>
          <w:tab w:val="left" w:pos="1188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на фондовом рынке;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numPr>
          <w:ilvl w:val="0"/>
          <w:numId w:val="25"/>
        </w:numPr>
        <w:ind w:left="567"/>
        <w:spacing w:after="0" w:line="240" w:lineRule="auto"/>
        <w:tabs>
          <w:tab w:val="left" w:pos="1188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94 в сфере электроснабжения;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numPr>
          <w:ilvl w:val="0"/>
          <w:numId w:val="25"/>
        </w:numPr>
        <w:ind w:left="567"/>
        <w:spacing w:after="0" w:line="240" w:lineRule="auto"/>
        <w:tabs>
          <w:tab w:val="left" w:pos="1188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17 в сфере теплоснабжения;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numPr>
          <w:ilvl w:val="0"/>
          <w:numId w:val="25"/>
        </w:numPr>
        <w:ind w:left="567"/>
        <w:spacing w:after="0" w:line="240" w:lineRule="auto"/>
        <w:tabs>
          <w:tab w:val="left" w:pos="1188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16 в сфере водоснабжения и водоотведения;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numPr>
          <w:ilvl w:val="0"/>
          <w:numId w:val="25"/>
        </w:numPr>
        <w:ind w:left="567"/>
        <w:spacing w:after="0" w:line="240" w:lineRule="auto"/>
        <w:tabs>
          <w:tab w:val="left" w:pos="1188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37 в сфере газоснабжения;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numPr>
          <w:ilvl w:val="0"/>
          <w:numId w:val="25"/>
        </w:numPr>
        <w:ind w:left="567"/>
        <w:spacing w:after="0" w:line="240" w:lineRule="auto"/>
        <w:tabs>
          <w:tab w:val="left" w:pos="1188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50 на рынке нефтепродуктов;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numPr>
          <w:ilvl w:val="0"/>
          <w:numId w:val="25"/>
        </w:numPr>
        <w:ind w:left="567"/>
        <w:spacing w:after="0" w:line="240" w:lineRule="auto"/>
        <w:tabs>
          <w:tab w:val="left" w:pos="1188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в сфере железнодорожного транспорта;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numPr>
          <w:ilvl w:val="0"/>
          <w:numId w:val="25"/>
        </w:numPr>
        <w:ind w:left="567"/>
        <w:spacing w:after="0" w:line="240" w:lineRule="auto"/>
        <w:tabs>
          <w:tab w:val="left" w:pos="1188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24 в сфере автомобильного транспорта;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numPr>
          <w:ilvl w:val="0"/>
          <w:numId w:val="25"/>
        </w:numPr>
        <w:ind w:left="567"/>
        <w:spacing w:after="0" w:line="240" w:lineRule="auto"/>
        <w:tabs>
          <w:tab w:val="left" w:pos="1188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19 на рынке связи;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numPr>
          <w:ilvl w:val="0"/>
          <w:numId w:val="25"/>
        </w:numPr>
        <w:ind w:left="567"/>
        <w:spacing w:after="0" w:line="240" w:lineRule="auto"/>
        <w:tabs>
          <w:tab w:val="left" w:pos="1188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41 в сфере жилищно-коммунального хозяйства;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numPr>
          <w:ilvl w:val="0"/>
          <w:numId w:val="25"/>
        </w:numPr>
        <w:ind w:left="567"/>
        <w:spacing w:after="0" w:line="240" w:lineRule="auto"/>
        <w:tabs>
          <w:tab w:val="left" w:pos="1188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 в сфере операций с недвижимым имуществом и землей;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numPr>
          <w:ilvl w:val="0"/>
          <w:numId w:val="25"/>
        </w:numPr>
        <w:ind w:left="567"/>
        <w:spacing w:after="0" w:line="240" w:lineRule="auto"/>
        <w:tabs>
          <w:tab w:val="left" w:pos="1188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 в сфере природопользования;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numPr>
          <w:ilvl w:val="0"/>
          <w:numId w:val="25"/>
        </w:numPr>
        <w:ind w:left="567"/>
        <w:spacing w:after="0" w:line="240" w:lineRule="auto"/>
        <w:tabs>
          <w:tab w:val="left" w:pos="1188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</w:t>
      </w:r>
      <w:r>
        <w:rPr>
          <w:rFonts w:ascii="Times New Roman" w:hAnsi="Times New Roman"/>
          <w:color w:val="000000"/>
          <w:sz w:val="28"/>
          <w:szCs w:val="28"/>
        </w:rPr>
        <w:t xml:space="preserve">в сфере строительства;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numPr>
          <w:ilvl w:val="0"/>
          <w:numId w:val="25"/>
        </w:numPr>
        <w:ind w:left="567"/>
        <w:spacing w:after="0" w:line="240" w:lineRule="auto"/>
        <w:tabs>
          <w:tab w:val="left" w:pos="1188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56 в сфере торговли и бытового обслуживания;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numPr>
          <w:ilvl w:val="0"/>
          <w:numId w:val="25"/>
        </w:numPr>
        <w:ind w:left="567"/>
        <w:spacing w:after="0" w:line="240" w:lineRule="auto"/>
        <w:tabs>
          <w:tab w:val="left" w:pos="1188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 на рынке лекарственных препаратов и медицинских изделий;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numPr>
          <w:ilvl w:val="0"/>
          <w:numId w:val="25"/>
        </w:numPr>
        <w:ind w:left="567"/>
        <w:spacing w:after="0" w:line="240" w:lineRule="auto"/>
        <w:tabs>
          <w:tab w:val="left" w:pos="1188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105 в прочих сферах деятельности.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188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Наибольшее количество заявлений о признаках нарушения антимонопольного 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поступ</w:t>
      </w:r>
      <w:r>
        <w:rPr>
          <w:rFonts w:ascii="Times New Roman" w:hAnsi="Times New Roman"/>
          <w:sz w:val="28"/>
          <w:szCs w:val="28"/>
        </w:rPr>
        <w:t xml:space="preserve">ает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сфер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электроснабжения, а также </w:t>
      </w:r>
      <w:r>
        <w:rPr>
          <w:rFonts w:ascii="Times New Roman" w:hAnsi="Times New Roman"/>
          <w:color w:val="000000"/>
          <w:sz w:val="28"/>
          <w:szCs w:val="28"/>
        </w:rPr>
        <w:t xml:space="preserve">торговли и бытового обслуживания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4" w:name="_GoBack"/>
      <w:r/>
      <w:bookmarkEnd w:id="4"/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after="0" w:line="240" w:lineRule="auto"/>
        <w:tabs>
          <w:tab w:val="left" w:pos="118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За 202</w:t>
      </w:r>
      <w:r>
        <w:rPr>
          <w:rFonts w:ascii="Times New Roman" w:hAnsi="Times New Roman" w:eastAsia="Calibri"/>
          <w:sz w:val="28"/>
          <w:szCs w:val="28"/>
        </w:rPr>
        <w:t xml:space="preserve">3 год </w:t>
      </w:r>
      <w:r>
        <w:rPr>
          <w:rFonts w:ascii="Times New Roman" w:hAnsi="Times New Roman" w:eastAsia="Calibri"/>
          <w:sz w:val="28"/>
          <w:szCs w:val="28"/>
        </w:rPr>
        <w:t xml:space="preserve">Нижегородским</w:t>
      </w:r>
      <w:r>
        <w:rPr>
          <w:rFonts w:ascii="Times New Roman" w:hAnsi="Times New Roman" w:eastAsia="Calibri"/>
          <w:sz w:val="28"/>
          <w:szCs w:val="28"/>
        </w:rPr>
        <w:t xml:space="preserve"> УФАС России выявлено 3 нарушения </w:t>
      </w:r>
      <w:r>
        <w:rPr>
          <w:rFonts w:ascii="Times New Roman" w:hAnsi="Times New Roman"/>
          <w:sz w:val="28"/>
          <w:szCs w:val="28"/>
        </w:rPr>
        <w:t xml:space="preserve"> антимонопольного законодательства на территории города Нижнего Новгорода, из них: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25"/>
        </w:numPr>
        <w:jc w:val="both"/>
        <w:spacing w:after="0" w:line="240" w:lineRule="auto"/>
        <w:tabs>
          <w:tab w:val="left" w:pos="118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в сфере автомобильного транспорта;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25"/>
        </w:numPr>
        <w:jc w:val="both"/>
        <w:spacing w:after="0" w:line="240" w:lineRule="auto"/>
        <w:tabs>
          <w:tab w:val="left" w:pos="118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в сфере теплоснабжения;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25"/>
        </w:numPr>
        <w:jc w:val="both"/>
        <w:spacing w:after="0" w:line="240" w:lineRule="auto"/>
        <w:tabs>
          <w:tab w:val="left" w:pos="118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на рынке ритуальных услуг.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188" w:leader="none"/>
        </w:tabs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в 2023 году </w:t>
      </w:r>
      <w:r>
        <w:rPr>
          <w:rFonts w:ascii="Times New Roman" w:hAnsi="Times New Roman" w:eastAsia="Calibri"/>
          <w:sz w:val="28"/>
          <w:szCs w:val="28"/>
        </w:rPr>
        <w:t xml:space="preserve">Нижегородским</w:t>
      </w:r>
      <w:r>
        <w:rPr>
          <w:rFonts w:ascii="Times New Roman" w:hAnsi="Times New Roman" w:eastAsia="Calibri"/>
          <w:sz w:val="28"/>
          <w:szCs w:val="28"/>
        </w:rPr>
        <w:t xml:space="preserve"> УФАС России</w:t>
      </w:r>
      <w:r>
        <w:rPr>
          <w:rFonts w:ascii="Times New Roman" w:hAnsi="Times New Roman"/>
          <w:sz w:val="28"/>
          <w:szCs w:val="28"/>
        </w:rPr>
        <w:t xml:space="preserve"> решения о </w:t>
      </w:r>
      <w:r>
        <w:rPr>
          <w:rFonts w:ascii="Times New Roman" w:hAnsi="Times New Roman" w:eastAsia="Calibri"/>
          <w:sz w:val="28"/>
          <w:szCs w:val="28"/>
        </w:rPr>
        <w:t xml:space="preserve">нарушении </w:t>
      </w:r>
      <w:r>
        <w:rPr>
          <w:rFonts w:ascii="Times New Roman" w:hAnsi="Times New Roman"/>
          <w:sz w:val="28"/>
          <w:szCs w:val="28"/>
        </w:rPr>
        <w:t xml:space="preserve"> антимонопольного законодательства</w:t>
      </w:r>
      <w:r>
        <w:rPr>
          <w:rFonts w:ascii="Times New Roman" w:hAnsi="Times New Roman"/>
          <w:sz w:val="28"/>
          <w:szCs w:val="28"/>
        </w:rPr>
        <w:t xml:space="preserve"> администрацией города Нижнего Новгорода не выносились, нарушения статей 15, 16 Федерального закона от 26.07.2006 № 135-ФЗ «О защите конкуренции» в деятельности администрации города Нижнего Новгорода не выявлено. 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188" w:leader="none"/>
        </w:tabs>
        <w:rPr>
          <w:rFonts w:ascii="Times New Roman" w:hAnsi="Times New Roman" w:eastAsia="Calibri"/>
          <w:sz w:val="28"/>
          <w:szCs w:val="28"/>
          <w:highlight w:val="yellow"/>
        </w:rPr>
      </w:pPr>
      <w:r>
        <w:rPr>
          <w:rFonts w:ascii="Times New Roman" w:hAnsi="Times New Roman" w:eastAsia="Calibri"/>
          <w:sz w:val="28"/>
          <w:szCs w:val="28"/>
          <w:highlight w:val="yellow"/>
        </w:rPr>
      </w:r>
      <w:r>
        <w:rPr>
          <w:rFonts w:ascii="Times New Roman" w:hAnsi="Times New Roman" w:eastAsia="Calibri"/>
          <w:sz w:val="28"/>
          <w:szCs w:val="28"/>
          <w:highlight w:val="yellow"/>
        </w:rPr>
      </w:r>
      <w:r>
        <w:rPr>
          <w:rFonts w:ascii="Times New Roman" w:hAnsi="Times New Roman" w:eastAsia="Calibri"/>
          <w:sz w:val="28"/>
          <w:szCs w:val="28"/>
          <w:highlight w:val="yellow"/>
        </w:rPr>
      </w:r>
    </w:p>
    <w:p>
      <w:pPr>
        <w:pStyle w:val="995"/>
        <w:ind w:firstLine="709"/>
        <w:jc w:val="center"/>
        <w:rPr>
          <w:b/>
          <w:i/>
          <w:sz w:val="32"/>
          <w:szCs w:val="32"/>
          <w:lang w:val="ru-RU" w:eastAsia="en-US"/>
        </w:rPr>
      </w:pPr>
      <w:r>
        <w:rPr>
          <w:b/>
          <w:i/>
          <w:sz w:val="32"/>
          <w:szCs w:val="32"/>
          <w:lang w:val="ru-RU" w:eastAsia="en-US"/>
        </w:rPr>
        <w:t xml:space="preserve">2.</w:t>
      </w:r>
      <w:r>
        <w:rPr>
          <w:b/>
          <w:i/>
          <w:sz w:val="32"/>
          <w:szCs w:val="32"/>
          <w:lang w:val="ru-RU" w:eastAsia="en-US"/>
        </w:rPr>
        <w:t xml:space="preserve">3</w:t>
      </w:r>
      <w:r>
        <w:rPr>
          <w:b/>
          <w:i/>
          <w:sz w:val="32"/>
          <w:szCs w:val="32"/>
          <w:lang w:val="ru-RU" w:eastAsia="en-US"/>
        </w:rPr>
        <w:t xml:space="preserve">. Информация </w:t>
      </w:r>
      <w:r>
        <w:rPr>
          <w:b/>
          <w:i/>
          <w:sz w:val="32"/>
          <w:szCs w:val="32"/>
          <w:lang w:val="ru-RU" w:eastAsia="en-US"/>
        </w:rPr>
        <w:t xml:space="preserve">ТОРГОВО-ПРОМЫШЛЕННОЙ</w:t>
      </w:r>
      <w:r>
        <w:rPr>
          <w:b/>
          <w:i/>
          <w:sz w:val="32"/>
          <w:szCs w:val="32"/>
          <w:lang w:val="ru-RU" w:eastAsia="en-US"/>
        </w:rPr>
        <w:t xml:space="preserve"> </w:t>
      </w:r>
      <w:r>
        <w:rPr>
          <w:b/>
          <w:i/>
          <w:sz w:val="32"/>
          <w:szCs w:val="32"/>
          <w:lang w:val="ru-RU" w:eastAsia="en-US"/>
        </w:rPr>
        <w:t xml:space="preserve">ПАЛАТЫ</w:t>
      </w:r>
      <w:r>
        <w:rPr>
          <w:b/>
          <w:i/>
          <w:sz w:val="32"/>
          <w:szCs w:val="32"/>
          <w:lang w:val="ru-RU" w:eastAsia="en-US"/>
        </w:rPr>
        <w:t xml:space="preserve"> (далее – ТПП) </w:t>
      </w:r>
      <w:r>
        <w:rPr>
          <w:b/>
          <w:i/>
          <w:sz w:val="32"/>
          <w:szCs w:val="32"/>
          <w:lang w:val="ru-RU" w:eastAsia="en-US"/>
        </w:rPr>
        <w:t xml:space="preserve"> </w:t>
      </w:r>
      <w:r>
        <w:rPr>
          <w:b/>
          <w:i/>
          <w:sz w:val="32"/>
          <w:szCs w:val="32"/>
          <w:lang w:val="ru-RU" w:eastAsia="en-US"/>
        </w:rPr>
        <w:t xml:space="preserve">НИЖЕГОРОДСКОЙ ОБЛАСТИ</w:t>
      </w:r>
      <w:r>
        <w:rPr>
          <w:b/>
          <w:i/>
          <w:sz w:val="32"/>
          <w:szCs w:val="32"/>
          <w:lang w:val="ru-RU" w:eastAsia="en-US"/>
        </w:rPr>
        <w:t xml:space="preserve"> по состоянию конкуренции в городе Нижнем Новгороде</w:t>
      </w:r>
      <w:r>
        <w:rPr>
          <w:b/>
          <w:i/>
          <w:sz w:val="32"/>
          <w:szCs w:val="32"/>
          <w:lang w:val="ru-RU" w:eastAsia="en-US"/>
        </w:rPr>
      </w:r>
      <w:r>
        <w:rPr>
          <w:b/>
          <w:i/>
          <w:sz w:val="32"/>
          <w:szCs w:val="32"/>
          <w:lang w:val="ru-RU" w:eastAsia="en-US"/>
        </w:rPr>
      </w:r>
    </w:p>
    <w:p>
      <w:pPr>
        <w:pStyle w:val="995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95"/>
        <w:ind w:firstLine="709"/>
        <w:jc w:val="both"/>
        <w:rPr>
          <w:sz w:val="28"/>
          <w:szCs w:val="28"/>
          <w:lang w:val="ru-RU"/>
        </w:rPr>
      </w:pPr>
      <w:r>
        <w:rPr>
          <w:rStyle w:val="996"/>
          <w:sz w:val="28"/>
          <w:szCs w:val="28"/>
          <w:lang w:val="ru-RU"/>
        </w:rPr>
        <w:t xml:space="preserve">По анализу обращений от субъектов предпринимательской деятельности в 2023 году можно выделить следующие проблемные вопросы</w:t>
      </w:r>
      <w:r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 регионе до настоящего времени сохраняется большое количество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предпринимателей, осуществляющих свою деятельность нелегально, в частности: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917"/>
        <w:numPr>
          <w:ilvl w:val="0"/>
          <w:numId w:val="37"/>
        </w:numPr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без регистрации в качестве индивидуального предпринимателя/юридического лица;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917"/>
        <w:numPr>
          <w:ilvl w:val="0"/>
          <w:numId w:val="37"/>
        </w:numPr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 видам деятельности, требующим получение специальных разрешений и/или лицензий;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917"/>
        <w:numPr>
          <w:ilvl w:val="0"/>
          <w:numId w:val="37"/>
        </w:numPr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 нарушением требований действующего законодательства.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contextualSpacing w:val="0"/>
        <w:ind w:left="0" w:firstLine="720"/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Представляется целесообразным предпринять следующие пути решения</w:t>
      </w:r>
      <w: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данных проблем: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b w:val="0"/>
          <w:bCs w:val="0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Создание портала или расширение функционала действующих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информационных платформ, закрепляющего возможность передачи обращений о фактах осуществления нелегальной предпринимательской деятельности, с указанием соответствующего места на интерактивной карте, с предусмотренным в нем открытым и закрытым разделом.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143" w:leader="none"/>
        </w:tabs>
      </w:pPr>
      <w:r>
        <w:rPr>
          <w:rFonts w:ascii="Times New Roman" w:hAnsi="Times New Roman"/>
          <w:b/>
          <w:bCs/>
          <w:sz w:val="28"/>
          <w:szCs w:val="28"/>
          <w:u w:val="none"/>
        </w:rPr>
        <w:t xml:space="preserve">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настоящее время высокотехнологичные и инновационные предприятия, обладающие исключительными правами на </w:t>
      </w:r>
      <w:r>
        <w:rPr>
          <w:rFonts w:ascii="Times New Roman" w:hAnsi="Times New Roman"/>
          <w:sz w:val="28"/>
          <w:szCs w:val="28"/>
        </w:rPr>
        <w:t xml:space="preserve">результат интеллектуальной деятельности, имеют ограниченный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доступ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финансированию своих проектов с использованием интеллектуальной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собственности в качестве обеспечения по займам.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tabs>
          <w:tab w:val="left" w:pos="1143" w:leader="none"/>
        </w:tabs>
      </w:pPr>
      <w:r>
        <w:rPr>
          <w:rFonts w:ascii="Times New Roman" w:hAnsi="Times New Roman"/>
          <w:sz w:val="28"/>
          <w:szCs w:val="28"/>
        </w:rPr>
        <w:t xml:space="preserve">Основной причиной такого ограничения, зачастую является отсутствие непосредственно на балансе организации созданной ими интеллектуальной собственности, поскольку такими компаниями не проводится ее надлежаще </w:t>
      </w:r>
      <w:r>
        <w:rPr>
          <w:rFonts w:ascii="Times New Roman" w:hAnsi="Times New Roman"/>
          <w:sz w:val="28"/>
          <w:szCs w:val="28"/>
        </w:rPr>
        <w:t xml:space="preserve">оформление, регистрация и оценка в целях принятия к учёту как нематериального актива.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tabs>
          <w:tab w:val="left" w:pos="1143" w:leader="none"/>
        </w:tabs>
      </w:pPr>
      <w:r>
        <w:rPr>
          <w:rFonts w:ascii="Times New Roman" w:hAnsi="Times New Roman"/>
          <w:sz w:val="28"/>
          <w:szCs w:val="28"/>
        </w:rPr>
        <w:t xml:space="preserve">В этой связи предлагается предусмотреть стимулирование и поддержку регистрации интеллектуальной собственности, а именно: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tabs>
          <w:tab w:val="left" w:pos="1143" w:leader="none"/>
        </w:tabs>
      </w:pPr>
      <w:r>
        <w:rPr>
          <w:rFonts w:ascii="Times New Roman" w:hAnsi="Times New Roman"/>
          <w:sz w:val="28"/>
          <w:szCs w:val="28"/>
        </w:rPr>
        <w:t xml:space="preserve">1. Закрепить возможность компенсации затрат инновационных предприятий на регистрацию интеллектуальной собственности.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tabs>
          <w:tab w:val="left" w:pos="1143" w:leader="none"/>
        </w:tabs>
      </w:pPr>
      <w:r>
        <w:rPr>
          <w:rFonts w:ascii="Times New Roman" w:hAnsi="Times New Roman"/>
          <w:sz w:val="28"/>
          <w:szCs w:val="28"/>
        </w:rPr>
        <w:t xml:space="preserve">В настоящее время, поскольку зарегистрированная и прошедшая имущественную оценку интеллектуальная собственность может вноситься в </w:t>
      </w:r>
      <w:r>
        <w:rPr>
          <w:rFonts w:ascii="Times New Roman" w:hAnsi="Times New Roman"/>
          <w:sz w:val="28"/>
          <w:szCs w:val="28"/>
        </w:rPr>
        <w:t xml:space="preserve">качестве уставного капитала юридических лиц, такие нематериальные активы могут стать основой для финансирования и хозяйственной деятельности инновационных предприятий.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tabs>
          <w:tab w:val="left" w:pos="1143" w:leader="none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2. Предусмотреть налоговые льготы при использовании в коммерческой деятельности зарегистрированную интеллектуальную собственность (НДС, налог на прибыль организации).</w:t>
      </w: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0"/>
        <w:jc w:val="center"/>
        <w:spacing w:before="240" w:after="240"/>
        <w:widowControl w:val="off"/>
        <w:rPr>
          <w:b/>
          <w:i/>
          <w:color w:val="auto"/>
          <w:sz w:val="32"/>
          <w:szCs w:val="32"/>
        </w:rPr>
      </w:pPr>
      <w:r/>
      <w:bookmarkStart w:id="5" w:name="_Toc101952222"/>
      <w:r>
        <w:rPr>
          <w:b/>
          <w:i/>
          <w:color w:val="auto"/>
          <w:sz w:val="32"/>
          <w:szCs w:val="32"/>
        </w:rPr>
        <w:t xml:space="preserve">2.</w:t>
      </w:r>
      <w:r>
        <w:rPr>
          <w:b/>
          <w:i/>
          <w:color w:val="auto"/>
          <w:sz w:val="32"/>
          <w:szCs w:val="32"/>
        </w:rPr>
        <w:t xml:space="preserve">4</w:t>
      </w:r>
      <w:r>
        <w:rPr>
          <w:b/>
          <w:i/>
          <w:color w:val="auto"/>
          <w:sz w:val="32"/>
          <w:szCs w:val="32"/>
        </w:rPr>
        <w:t xml:space="preserve">. Оценка со стороны общественных организаций, действующих в интересах предпринимателей и потребителей</w:t>
      </w:r>
      <w:bookmarkEnd w:id="5"/>
      <w:r>
        <w:rPr>
          <w:b/>
          <w:i/>
          <w:color w:val="auto"/>
          <w:sz w:val="32"/>
          <w:szCs w:val="32"/>
        </w:rPr>
      </w:r>
      <w:r>
        <w:rPr>
          <w:b/>
          <w:i/>
          <w:color w:val="auto"/>
          <w:sz w:val="32"/>
          <w:szCs w:val="32"/>
        </w:rPr>
      </w:r>
    </w:p>
    <w:p>
      <w:pPr>
        <w:pStyle w:val="911"/>
        <w:jc w:val="center"/>
        <w:spacing w:before="240" w:after="240" w:line="240" w:lineRule="auto"/>
        <w:widowControl w:val="off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6" w:name="_Toc101952223"/>
      <w:r>
        <w:rPr>
          <w:rFonts w:ascii="Times New Roman" w:hAnsi="Times New Roman" w:cs="Times New Roman"/>
          <w:color w:val="auto"/>
          <w:sz w:val="28"/>
          <w:szCs w:val="28"/>
        </w:rPr>
        <w:t xml:space="preserve">Оценка со стороны Нижегородского регионального отделения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бщероссийской общественной организации малого и среднего предпринимательства «ОПОРА РОССИИ» (НРО ООО «ОПОРА РОССИИ»)</w:t>
      </w:r>
      <w:bookmarkEnd w:id="6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709"/>
        <w:jc w:val="both"/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Исходя из поступивших обращений в 2023 году в адрес Нижегородского регионального отделения «ОПОРЫ РОССИИ» необходимо выделить два рынка, которые входят в перечень товарных рынков для содействия развитию конкуренции в Нижегородской области: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</w:t>
        <w:tab/>
        <w:t xml:space="preserve">На рынке услуг розничной торговли лекарственными препаратами, медицинскими изделиями и сопутствующими товарами в 2023 году отмечается неизменное по сравнению с предыдущими годами трудное конкурентное положение у малых аптечных предприятий Нижегородской о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ласти. Конкуренция в ценовой политике с федеральными аптечными сетями неравна ввиду того, что они имеют преимущество с учетом больших скидок от производителей лекарственных препаратов. Более того, малые аптечные предприятия располагают свои точки в малонас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ленных территориях (села, поселки, отдаленные части городов). Данные места торговли не интересны федеральным аптечным сетям и малые предприятия несут социальную функцию, обеспечивая жителей Нижегородской области лекарственными препаратами. Развитию на рынк</w:t>
      </w:r>
      <w:r>
        <w:rPr>
          <w:rFonts w:ascii="Times New Roman" w:hAnsi="Times New Roman"/>
          <w:sz w:val="28"/>
          <w:szCs w:val="28"/>
        </w:rPr>
        <w:t xml:space="preserve">е малых аптечных предприятий способствовали бы выработанные региональные меры поддержки в целях развития аптек в удаленных и малонаселенных территориях Нижегородской области.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</w:t>
        <w:tab/>
        <w:t xml:space="preserve">Рынок услуг по перевозке пассажиров автомобильным транспортом в городе Нижнем Новгороде. В связи с введением новой комплексной транспортной схемы существуют предпосылки для ограниче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ия конкуренции на данном рынке. Участники рынка считают, что происходят системные изменения условий конкуренции на рынке, в результате которых на 50% будет сокращена доля частных перевозчиков в структуре городского пассажирского транспорта. Более того, час</w:t>
      </w:r>
      <w:r>
        <w:rPr>
          <w:rFonts w:ascii="Times New Roman" w:hAnsi="Times New Roman"/>
          <w:sz w:val="28"/>
          <w:szCs w:val="28"/>
        </w:rPr>
        <w:t xml:space="preserve">тные перевозчики (малый и средний бизнес) не могут самостоятельно (без дотаций из бюджета и принятия программных решений) конкурировать с государственными, муниципальными предприятиями и крупным капиталом, который имеет финансовую поддержку из бюджета.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Несмотря на сложившуюся ситуацию на некоторых рынках, хотелось бы отметить, что в 2023 году ситуация в мировой экономике дала возможность развития российскому производству, активному импортозамещению, а соответственно и внутренней конкуренции на некоторых рынках. 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2023 году реализация на территории Нижегородской области общероссийских и международных мероприятий, а также активность, связанная со статусом Нижнего Новгорода «Молодежная столица», привели к увеличению делового и культурного туризма в Нижегородскую обла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ть. Это в свою очередь способствовало развитию таких рынков как:</w:t>
      </w:r>
      <w:r/>
    </w:p>
    <w:p>
      <w:pPr>
        <w:pStyle w:val="917"/>
        <w:numPr>
          <w:ilvl w:val="0"/>
          <w:numId w:val="41"/>
        </w:num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общественное питание;</w:t>
      </w:r>
      <w:r/>
    </w:p>
    <w:p>
      <w:pPr>
        <w:pStyle w:val="917"/>
        <w:numPr>
          <w:ilvl w:val="0"/>
          <w:numId w:val="41"/>
        </w:num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торговля сувенирной продукцией;</w:t>
      </w:r>
      <w:r/>
    </w:p>
    <w:p>
      <w:pPr>
        <w:pStyle w:val="917"/>
        <w:numPr>
          <w:ilvl w:val="0"/>
          <w:numId w:val="41"/>
        </w:num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мероприятий;</w:t>
      </w:r>
      <w:r/>
    </w:p>
    <w:p>
      <w:pPr>
        <w:pStyle w:val="917"/>
        <w:numPr>
          <w:ilvl w:val="0"/>
          <w:numId w:val="41"/>
        </w:num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розничная торговля.</w:t>
      </w:r>
      <w:r/>
    </w:p>
    <w:p>
      <w:pPr>
        <w:ind w:left="0" w:firstLine="0"/>
        <w:jc w:val="both"/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А также следующие рынки из перечня товарных рынков для содействия развитию конкуренции в Нижегородской </w:t>
      </w:r>
      <w:r>
        <w:rPr>
          <w:rFonts w:ascii="Times New Roman" w:hAnsi="Times New Roman"/>
          <w:sz w:val="28"/>
          <w:szCs w:val="28"/>
        </w:rPr>
        <w:t xml:space="preserve">области:</w:t>
      </w:r>
      <w:r/>
      <w:r/>
    </w:p>
    <w:p>
      <w:pPr>
        <w:pStyle w:val="917"/>
        <w:numPr>
          <w:ilvl w:val="0"/>
          <w:numId w:val="38"/>
        </w:numPr>
        <w:jc w:val="both"/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рынок выполнения работ по благоустройству городской среды;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17"/>
        <w:numPr>
          <w:ilvl w:val="0"/>
          <w:numId w:val="39"/>
        </w:numPr>
        <w:jc w:val="both"/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рынок оказания услуг по перевозке пассажиров и багажа легковым такси на территории Нижегородской области;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17"/>
        <w:numPr>
          <w:ilvl w:val="0"/>
          <w:numId w:val="40"/>
        </w:numPr>
        <w:jc w:val="both"/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рынок деятельности в сфере туризма, в том числе рынок гостиничных услуг.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заключении хотелось бы отметить, что в 2023 году меры поддержки, принимаемые Правительством Нижегородской области в диалоге с предпринимательским сообществом, способствуют развитию предпринимательства в целом.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0"/>
        <w:jc w:val="center"/>
        <w:spacing w:before="240" w:after="240"/>
        <w:rPr>
          <w:b/>
          <w:i/>
          <w:color w:val="auto"/>
          <w:sz w:val="32"/>
          <w:szCs w:val="32"/>
        </w:rPr>
      </w:pPr>
      <w:r/>
      <w:bookmarkStart w:id="8" w:name="_Toc101952225"/>
      <w:r>
        <w:rPr>
          <w:b/>
          <w:i/>
          <w:color w:val="auto"/>
          <w:sz w:val="32"/>
          <w:szCs w:val="32"/>
        </w:rPr>
        <w:t xml:space="preserve">2.</w:t>
      </w:r>
      <w:r>
        <w:rPr>
          <w:b/>
          <w:i/>
          <w:color w:val="auto"/>
          <w:sz w:val="32"/>
          <w:szCs w:val="32"/>
        </w:rPr>
        <w:t xml:space="preserve">5</w:t>
      </w:r>
      <w:r>
        <w:rPr>
          <w:b/>
          <w:i/>
          <w:color w:val="auto"/>
          <w:sz w:val="32"/>
          <w:szCs w:val="32"/>
        </w:rPr>
        <w:t xml:space="preserve">. </w:t>
      </w:r>
      <w:r>
        <w:rPr>
          <w:b/>
          <w:i/>
          <w:color w:val="auto"/>
          <w:sz w:val="32"/>
          <w:szCs w:val="32"/>
        </w:rPr>
        <w:t xml:space="preserve">Рейтинг </w:t>
      </w:r>
      <w:r>
        <w:rPr>
          <w:b/>
          <w:i/>
          <w:color w:val="auto"/>
          <w:sz w:val="32"/>
          <w:szCs w:val="32"/>
        </w:rPr>
        <w:t xml:space="preserve">муниципальных образований Нижегородской области по содействию развитию конкуренции и обеспечению условий для благоприятного инвестиционного климата</w:t>
      </w:r>
      <w:bookmarkEnd w:id="8"/>
      <w:r>
        <w:rPr>
          <w:b/>
          <w:i/>
          <w:color w:val="auto"/>
          <w:sz w:val="32"/>
          <w:szCs w:val="32"/>
        </w:rPr>
      </w:r>
      <w:r>
        <w:rPr>
          <w:b/>
          <w:i/>
          <w:color w:val="auto"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2016 года в Нижегородской области </w:t>
      </w:r>
      <w:r>
        <w:rPr>
          <w:rFonts w:ascii="Times New Roman" w:hAnsi="Times New Roman"/>
          <w:sz w:val="28"/>
          <w:szCs w:val="28"/>
        </w:rPr>
        <w:t xml:space="preserve">внедряется и реализуется,</w:t>
      </w:r>
      <w:r>
        <w:rPr>
          <w:rFonts w:ascii="Times New Roman" w:hAnsi="Times New Roman"/>
          <w:sz w:val="28"/>
          <w:szCs w:val="28"/>
        </w:rPr>
        <w:t xml:space="preserve"> в том числе и в Нижнем Новгороде, Стандарт развития конкуренции в субъектах Российско</w:t>
      </w:r>
      <w:r>
        <w:rPr>
          <w:rFonts w:ascii="Times New Roman" w:hAnsi="Times New Roman"/>
          <w:sz w:val="28"/>
          <w:szCs w:val="28"/>
        </w:rPr>
        <w:t xml:space="preserve">й Федерации (далее – Стандарт).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 </w:t>
      </w:r>
      <w:r>
        <w:rPr>
          <w:rFonts w:ascii="Times New Roman" w:hAnsi="Times New Roman" w:eastAsia="Calibri"/>
          <w:sz w:val="28"/>
          <w:szCs w:val="28"/>
        </w:rPr>
        <w:t xml:space="preserve">министерством экономического развития и инвестиций Нижегородской области</w:t>
      </w:r>
      <w:r>
        <w:rPr>
          <w:rFonts w:ascii="Times New Roman" w:hAnsi="Times New Roman"/>
          <w:sz w:val="28"/>
          <w:szCs w:val="28"/>
        </w:rPr>
        <w:t xml:space="preserve"> и администрацией города Нижнего Новгорода</w:t>
      </w:r>
      <w:r>
        <w:rPr>
          <w:rFonts w:ascii="Times New Roman" w:hAnsi="Times New Roman" w:eastAsia="Calibri"/>
          <w:sz w:val="28"/>
          <w:szCs w:val="28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 xml:space="preserve">21 ноября 2019 заключено соглашение № 132 </w:t>
      </w:r>
      <w:r>
        <w:rPr>
          <w:rFonts w:ascii="Times New Roman" w:hAnsi="Times New Roman"/>
          <w:sz w:val="28"/>
          <w:szCs w:val="28"/>
        </w:rPr>
        <w:t xml:space="preserve">о внедрении стандарта развития конкуренции на территории Нижегородской области.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Соглашения о внедрении стандарта развития конкуренции на те</w:t>
      </w:r>
      <w:r>
        <w:rPr>
          <w:rFonts w:ascii="Times New Roman" w:hAnsi="Times New Roman"/>
          <w:sz w:val="28"/>
          <w:szCs w:val="28"/>
        </w:rPr>
        <w:t xml:space="preserve">рритории Нижегородской области, </w:t>
      </w:r>
      <w:r>
        <w:rPr>
          <w:rFonts w:ascii="Times New Roman" w:hAnsi="Times New Roman" w:eastAsia="Calibri"/>
          <w:iCs/>
          <w:sz w:val="28"/>
          <w:szCs w:val="28"/>
        </w:rPr>
        <w:t xml:space="preserve">достижения к 1 января 202</w:t>
      </w:r>
      <w:r>
        <w:rPr>
          <w:rFonts w:ascii="Times New Roman" w:hAnsi="Times New Roman" w:eastAsia="Calibri"/>
          <w:iCs/>
          <w:sz w:val="28"/>
          <w:szCs w:val="28"/>
        </w:rPr>
        <w:t xml:space="preserve">4 г. ключевых показателей развития конкуренции в </w:t>
      </w:r>
      <w:r>
        <w:rPr>
          <w:rFonts w:ascii="Times New Roman" w:hAnsi="Times New Roman"/>
          <w:sz w:val="28"/>
          <w:szCs w:val="28"/>
        </w:rPr>
        <w:t xml:space="preserve">городском округе город </w:t>
      </w:r>
      <w:r>
        <w:rPr>
          <w:rFonts w:ascii="Times New Roman" w:hAnsi="Times New Roman" w:eastAsia="Calibri"/>
          <w:iCs/>
          <w:sz w:val="28"/>
          <w:szCs w:val="28"/>
        </w:rPr>
        <w:t xml:space="preserve">Нижний Новгород </w:t>
      </w:r>
      <w:r>
        <w:rPr>
          <w:rFonts w:ascii="Times New Roman" w:hAnsi="Times New Roman"/>
          <w:sz w:val="28"/>
          <w:szCs w:val="28"/>
        </w:rPr>
        <w:t xml:space="preserve">администрацией города Нижнего Новгорода </w:t>
      </w:r>
      <w:r>
        <w:rPr>
          <w:rFonts w:ascii="Times New Roman" w:hAnsi="Times New Roman"/>
          <w:sz w:val="28"/>
          <w:szCs w:val="28"/>
        </w:rPr>
        <w:t xml:space="preserve">разраб</w:t>
      </w:r>
      <w:r>
        <w:rPr>
          <w:rFonts w:ascii="Times New Roman" w:hAnsi="Times New Roman"/>
          <w:sz w:val="28"/>
          <w:szCs w:val="28"/>
        </w:rPr>
        <w:t xml:space="preserve">атывается </w:t>
      </w:r>
      <w:r>
        <w:rPr>
          <w:rFonts w:ascii="Times New Roman" w:hAnsi="Times New Roman"/>
          <w:sz w:val="28"/>
          <w:szCs w:val="28"/>
        </w:rPr>
        <w:t xml:space="preserve">Ведомственный план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Ежегодно проводится его актуализация.</w:t>
      </w:r>
      <w:r>
        <w:rPr>
          <w:rFonts w:ascii="Times New Roman" w:hAnsi="Times New Roman" w:eastAsia="Calibri"/>
          <w:iCs/>
          <w:sz w:val="28"/>
          <w:szCs w:val="28"/>
        </w:rPr>
      </w:r>
      <w:r>
        <w:rPr>
          <w:rFonts w:ascii="Times New Roman" w:hAnsi="Times New Roman" w:eastAsia="Calibri"/>
          <w:i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Ведомственный план, устанавливающий значение целевых показателей </w:t>
      </w:r>
      <w:r>
        <w:rPr>
          <w:rFonts w:ascii="Times New Roman" w:hAnsi="Times New Roman" w:eastAsia="Calibri"/>
          <w:iCs/>
          <w:sz w:val="28"/>
          <w:szCs w:val="28"/>
        </w:rPr>
        <w:t xml:space="preserve">развития конкуренции в </w:t>
      </w:r>
      <w:r>
        <w:rPr>
          <w:rFonts w:ascii="Times New Roman" w:hAnsi="Times New Roman"/>
          <w:sz w:val="28"/>
          <w:szCs w:val="28"/>
        </w:rPr>
        <w:t xml:space="preserve">городском округе город </w:t>
      </w:r>
      <w:r>
        <w:rPr>
          <w:rFonts w:ascii="Times New Roman" w:hAnsi="Times New Roman" w:eastAsia="Calibri"/>
          <w:iCs/>
          <w:sz w:val="28"/>
          <w:szCs w:val="28"/>
        </w:rPr>
        <w:t xml:space="preserve">Нижний Новгород на период до 01.01.202</w:t>
      </w:r>
      <w:r>
        <w:rPr>
          <w:rFonts w:ascii="Times New Roman" w:hAnsi="Times New Roman" w:eastAsia="Calibri"/>
          <w:iCs/>
          <w:sz w:val="28"/>
          <w:szCs w:val="28"/>
        </w:rPr>
        <w:t xml:space="preserve">6</w:t>
      </w:r>
      <w:r>
        <w:rPr>
          <w:rFonts w:ascii="Times New Roman" w:hAnsi="Times New Roman" w:eastAsia="Calibri"/>
          <w:iCs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 распоряжением администрации города Нижнего Новгорода от </w:t>
      </w:r>
      <w:r>
        <w:rPr>
          <w:rFonts w:ascii="Times New Roman" w:hAnsi="Times New Roman"/>
          <w:sz w:val="28"/>
          <w:szCs w:val="28"/>
        </w:rPr>
        <w:t xml:space="preserve">30</w:t>
      </w:r>
      <w:r>
        <w:rPr>
          <w:rFonts w:ascii="Times New Roman" w:hAnsi="Times New Roman"/>
          <w:sz w:val="28"/>
          <w:szCs w:val="28"/>
        </w:rPr>
        <w:t xml:space="preserve">.0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310</w:t>
      </w:r>
      <w:r>
        <w:rPr>
          <w:rFonts w:ascii="Times New Roman" w:hAnsi="Times New Roman"/>
          <w:sz w:val="28"/>
          <w:szCs w:val="28"/>
        </w:rPr>
        <w:t xml:space="preserve">-р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официально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сайте</w:t>
      </w:r>
      <w:r>
        <w:rPr>
          <w:rFonts w:ascii="Times New Roman" w:hAnsi="Times New Roman"/>
          <w:sz w:val="28"/>
          <w:szCs w:val="28"/>
        </w:rPr>
        <w:t xml:space="preserve"> города Нижнего Новгорода создан раздел, посвященный деятельности по развитию конкуренции. В данном разделе размещаются </w:t>
      </w:r>
      <w:r>
        <w:rPr>
          <w:rFonts w:ascii="Times New Roman" w:hAnsi="Times New Roman"/>
          <w:sz w:val="28"/>
          <w:szCs w:val="28"/>
        </w:rPr>
        <w:t xml:space="preserve">актуальные </w:t>
      </w:r>
      <w:r>
        <w:rPr>
          <w:rFonts w:ascii="Times New Roman" w:hAnsi="Times New Roman"/>
          <w:sz w:val="28"/>
          <w:szCs w:val="28"/>
        </w:rPr>
        <w:t xml:space="preserve">материалы, отражающие деятельность по развитию конкуренции в рамках внедрения Стандарта на федеральном, региональном уровнях г</w:t>
      </w:r>
      <w:r>
        <w:rPr>
          <w:rFonts w:ascii="Times New Roman" w:hAnsi="Times New Roman"/>
          <w:sz w:val="28"/>
          <w:szCs w:val="28"/>
        </w:rPr>
        <w:t xml:space="preserve">осударственной власти и на уров</w:t>
      </w:r>
      <w:r>
        <w:rPr>
          <w:rFonts w:ascii="Times New Roman" w:hAnsi="Times New Roman"/>
          <w:sz w:val="28"/>
          <w:szCs w:val="28"/>
        </w:rPr>
        <w:t xml:space="preserve">не муниципальной власти в городе Нижнем Новгороде.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Стандарта и оценки мер, принимаемых органами местного самоуп</w:t>
      </w:r>
      <w:r>
        <w:rPr>
          <w:rFonts w:ascii="Times New Roman" w:hAnsi="Times New Roman"/>
          <w:sz w:val="28"/>
          <w:szCs w:val="28"/>
        </w:rPr>
        <w:t xml:space="preserve">равления Нижегородской области, </w:t>
      </w:r>
      <w:r>
        <w:rPr>
          <w:rFonts w:ascii="Times New Roman" w:hAnsi="Times New Roman"/>
          <w:sz w:val="28"/>
          <w:szCs w:val="28"/>
        </w:rPr>
        <w:t xml:space="preserve">ежегодно формируется рейтинг муниципальных районов (городских округов) Нижегородской области в части их деятельности по содействию развитию конкуренции и обеспечению условий для благоприятного инвестиционного климата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Методика оценки деятельности органов местного само</w:t>
      </w:r>
      <w:r>
        <w:rPr>
          <w:rFonts w:ascii="Times New Roman" w:hAnsi="Times New Roman"/>
          <w:sz w:val="28"/>
          <w:szCs w:val="28"/>
        </w:rPr>
        <w:t xml:space="preserve">управления муниципальных районов и городских округов Нижегородской области по содействию развитию конкуренции и обеспечению условий для благоприятного инвестиционного климата, утверждена приказом министерства экономического развития и инвестиций Нижегородс</w:t>
      </w:r>
      <w:r>
        <w:rPr>
          <w:rFonts w:ascii="Times New Roman" w:hAnsi="Times New Roman"/>
          <w:sz w:val="28"/>
          <w:szCs w:val="28"/>
        </w:rPr>
        <w:t xml:space="preserve">кой области от 26.03.2020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47.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9"/>
        <w:ind w:firstLine="709"/>
        <w:jc w:val="both"/>
        <w:spacing w:before="0" w:after="0"/>
        <w:rPr>
          <w:rFonts w:eastAsia="Times New Roman"/>
          <w:sz w:val="22"/>
          <w:szCs w:val="22"/>
        </w:rPr>
      </w:pPr>
      <w:r>
        <w:rPr>
          <w:rFonts w:eastAsia="Times New Roman"/>
          <w:sz w:val="28"/>
          <w:szCs w:val="28"/>
        </w:rPr>
        <w:t xml:space="preserve">При этом оценка производится не только по степени выполнения составляющих Стандарта (качественные показатели), но и по степени достижения количественных показателей, перечень которых в том числе содержит показатели, установленные Ук</w:t>
      </w:r>
      <w:r>
        <w:rPr>
          <w:rFonts w:eastAsia="Times New Roman"/>
          <w:sz w:val="28"/>
          <w:szCs w:val="28"/>
        </w:rPr>
        <w:t xml:space="preserve">азом Президента Российской Федерации от 21.12.2017 № 618 «Об основных направлениях государственной политики по развитию конкуренции», а также ключевые показатели развития конкуренции в Нижегородской области, достижение которых относится к компетенции ОМСУ.</w:t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pStyle w:val="919"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По результатам 202</w:t>
      </w:r>
      <w:r>
        <w:rPr>
          <w:sz w:val="28"/>
          <w:szCs w:val="28"/>
        </w:rPr>
        <w:t xml:space="preserve">3 года Нижний Новгород занял </w:t>
      </w:r>
      <w:r>
        <w:rPr>
          <w:sz w:val="28"/>
          <w:szCs w:val="28"/>
        </w:rPr>
        <w:t xml:space="preserve">3 место в рейтинге муниципальных р</w:t>
      </w:r>
      <w:r>
        <w:rPr>
          <w:sz w:val="28"/>
          <w:szCs w:val="28"/>
        </w:rPr>
        <w:t xml:space="preserve">айонов и городских округов Нижегородской области в части их деятельности по содействию развитию конкуренции и обеспечению условий для благоприятного инвестиционного климата (приказ министерства экономического развития и инвестиций Нижегородской области от </w:t>
      </w:r>
      <w:r>
        <w:rPr>
          <w:sz w:val="28"/>
          <w:szCs w:val="28"/>
        </w:rPr>
        <w:t xml:space="preserve">26 марта 202</w:t>
      </w:r>
      <w:r>
        <w:rPr>
          <w:sz w:val="28"/>
          <w:szCs w:val="28"/>
        </w:rPr>
        <w:t xml:space="preserve">4 № </w:t>
      </w:r>
      <w:r>
        <w:rPr>
          <w:sz w:val="28"/>
          <w:szCs w:val="28"/>
        </w:rPr>
        <w:t xml:space="preserve">40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jc w:val="center"/>
        <w:spacing w:after="240" w:line="240" w:lineRule="auto"/>
        <w:rPr>
          <w:rFonts w:ascii="Times New Roman" w:hAnsi="Times New Roman"/>
          <w:u w:val="single"/>
        </w:rPr>
      </w:pPr>
      <w:r/>
      <w:bookmarkStart w:id="9" w:name="_Toc71618637"/>
      <w:r/>
      <w:bookmarkStart w:id="10" w:name="_Toc101952232"/>
      <w:r>
        <w:rPr>
          <w:rFonts w:ascii="Times New Roman" w:hAnsi="Times New Roman"/>
          <w:u w:val="single"/>
        </w:rPr>
        <w:t xml:space="preserve">3. Развитие конкурентной среды в городе Нижнем Новгороде</w:t>
      </w:r>
      <w:bookmarkEnd w:id="9"/>
      <w:r/>
      <w:bookmarkEnd w:id="10"/>
      <w:r>
        <w:rPr>
          <w:rFonts w:ascii="Times New Roman" w:hAnsi="Times New Roman"/>
          <w:u w:val="single"/>
        </w:rPr>
      </w:r>
      <w:r>
        <w:rPr>
          <w:rFonts w:ascii="Times New Roman" w:hAnsi="Times New Roman"/>
          <w:u w:val="singl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мероприятия, реализуемые на</w:t>
      </w:r>
      <w:r>
        <w:rPr>
          <w:rFonts w:ascii="Times New Roman" w:hAnsi="Times New Roman"/>
          <w:sz w:val="28"/>
          <w:szCs w:val="28"/>
        </w:rPr>
        <w:t xml:space="preserve"> территории города Нижнего Новгорода, направленные на развитие конкуренции, предусмотрены Планом мероприятий («дорожной картой») по содействию развитию конкуренции в Нижегородской области, утвержденным распоряжением Губернатора Нижегородской области от 28.</w:t>
      </w:r>
      <w:r>
        <w:rPr>
          <w:rFonts w:ascii="Times New Roman" w:hAnsi="Times New Roman"/>
          <w:sz w:val="28"/>
          <w:szCs w:val="28"/>
        </w:rPr>
        <w:t xml:space="preserve">12</w:t>
      </w:r>
      <w:r>
        <w:rPr>
          <w:rFonts w:ascii="Times New Roman" w:hAnsi="Times New Roman"/>
          <w:sz w:val="28"/>
          <w:szCs w:val="28"/>
        </w:rPr>
        <w:t xml:space="preserve">.20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1 № </w:t>
      </w:r>
      <w:r>
        <w:rPr>
          <w:rFonts w:ascii="Times New Roman" w:hAnsi="Times New Roman"/>
          <w:sz w:val="28"/>
          <w:szCs w:val="28"/>
        </w:rPr>
        <w:t xml:space="preserve">1936</w:t>
      </w:r>
      <w:r>
        <w:rPr>
          <w:rFonts w:ascii="Times New Roman" w:hAnsi="Times New Roman"/>
          <w:sz w:val="28"/>
          <w:szCs w:val="28"/>
        </w:rPr>
        <w:t xml:space="preserve">-р (с последующими изменениями), и Ведомственным планом.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Вышеуказанные планы включают мероприятия по развитию конкуренции на товарных рынка, включенных в перечень товарных рынков для содействия развитию конкуренции в Нижегородской области, утвержденный распоряжением Губернатора Нижегородской области от </w:t>
      </w:r>
      <w:r>
        <w:rPr>
          <w:rFonts w:ascii="Times New Roman" w:hAnsi="Times New Roman"/>
          <w:sz w:val="28"/>
          <w:szCs w:val="28"/>
        </w:rPr>
        <w:t xml:space="preserve">28.</w:t>
      </w:r>
      <w:r>
        <w:rPr>
          <w:rFonts w:ascii="Times New Roman" w:hAnsi="Times New Roman"/>
          <w:sz w:val="28"/>
          <w:szCs w:val="28"/>
        </w:rPr>
        <w:t xml:space="preserve">12</w:t>
      </w:r>
      <w:r>
        <w:rPr>
          <w:rFonts w:ascii="Times New Roman" w:hAnsi="Times New Roman"/>
          <w:sz w:val="28"/>
          <w:szCs w:val="28"/>
        </w:rPr>
        <w:t xml:space="preserve">.20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1 № </w:t>
      </w:r>
      <w:r>
        <w:rPr>
          <w:rFonts w:ascii="Times New Roman" w:hAnsi="Times New Roman"/>
          <w:sz w:val="28"/>
          <w:szCs w:val="28"/>
        </w:rPr>
        <w:t xml:space="preserve">1936</w:t>
      </w:r>
      <w:r>
        <w:rPr>
          <w:rFonts w:ascii="Times New Roman" w:hAnsi="Times New Roman"/>
          <w:sz w:val="28"/>
          <w:szCs w:val="28"/>
        </w:rPr>
        <w:t xml:space="preserve">-р</w:t>
      </w:r>
      <w:r>
        <w:rPr>
          <w:rFonts w:ascii="Times New Roman" w:hAnsi="Times New Roman"/>
          <w:sz w:val="28"/>
          <w:szCs w:val="28"/>
        </w:rPr>
        <w:t xml:space="preserve">, а также системные мероприятия, в соответствии с пунктом </w:t>
      </w:r>
      <w:r>
        <w:rPr>
          <w:rFonts w:ascii="Times New Roman" w:hAnsi="Times New Roman"/>
          <w:sz w:val="28"/>
          <w:szCs w:val="28"/>
        </w:rPr>
        <w:t xml:space="preserve">30 Стандарта</w:t>
      </w:r>
      <w:r>
        <w:rPr>
          <w:rFonts w:ascii="Times New Roman" w:hAnsi="Times New Roman"/>
          <w:sz w:val="28"/>
          <w:szCs w:val="28"/>
        </w:rPr>
        <w:t xml:space="preserve"> развития конкуренции в субъектах Российской Федерации, утвержденного распоряжением Правительства Российской Федерации от 17 апреля 2019 г. № 768-р.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ероприятия направле</w:t>
      </w:r>
      <w:r>
        <w:rPr>
          <w:rFonts w:ascii="Times New Roman" w:hAnsi="Times New Roman"/>
          <w:sz w:val="28"/>
          <w:szCs w:val="28"/>
        </w:rPr>
        <w:t xml:space="preserve">ны на достижение ключевых показателей развития конкуренции, определенных Национальным планом развития конкуренции в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Ведомственный план</w:t>
      </w:r>
      <w:r>
        <w:rPr>
          <w:rFonts w:ascii="Times New Roman" w:hAnsi="Times New Roman"/>
          <w:sz w:val="28"/>
          <w:szCs w:val="28"/>
        </w:rPr>
        <w:t xml:space="preserve"> включает 3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 мероприятий, для которых установлены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целевых показателей, по </w:t>
      </w:r>
      <w:r>
        <w:rPr>
          <w:rFonts w:ascii="Times New Roman" w:hAnsi="Times New Roman"/>
          <w:sz w:val="28"/>
          <w:szCs w:val="28"/>
        </w:rPr>
        <w:t xml:space="preserve">15</w:t>
      </w:r>
      <w:r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показателей за 202</w:t>
      </w:r>
      <w:r>
        <w:rPr>
          <w:rFonts w:ascii="Times New Roman" w:hAnsi="Times New Roman"/>
          <w:sz w:val="28"/>
          <w:szCs w:val="28"/>
        </w:rPr>
        <w:t xml:space="preserve">3 год исполнены на 100 % и более.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реализации системных мероприятий Ведомственного плана за 202</w:t>
      </w:r>
      <w:r>
        <w:rPr>
          <w:rFonts w:ascii="Times New Roman" w:hAnsi="Times New Roman"/>
          <w:sz w:val="28"/>
          <w:szCs w:val="28"/>
        </w:rPr>
        <w:t xml:space="preserve">3 год: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субъектами предпринимательской деятельности проведено </w:t>
      </w:r>
      <w:r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759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консультаций о мерах государственной поддержки в городе Нижнем Новгороде;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исключено из ЕГРЮЛ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 xml:space="preserve">муниципальных</w:t>
      </w:r>
      <w:r>
        <w:rPr>
          <w:rFonts w:ascii="Times New Roman" w:hAnsi="Times New Roman"/>
          <w:sz w:val="28"/>
          <w:szCs w:val="28"/>
        </w:rPr>
        <w:t xml:space="preserve"> предприятий города Нижнего Новгорода</w:t>
      </w:r>
      <w:r>
        <w:rPr>
          <w:rFonts w:ascii="Times New Roman" w:hAnsi="Times New Roman"/>
          <w:sz w:val="28"/>
          <w:szCs w:val="28"/>
        </w:rPr>
        <w:t xml:space="preserve">, в стадии банкротства находятся еще 1 </w:t>
      </w:r>
      <w:r>
        <w:rPr>
          <w:rFonts w:ascii="Times New Roman" w:hAnsi="Times New Roman"/>
          <w:sz w:val="28"/>
          <w:szCs w:val="28"/>
        </w:rPr>
        <w:t xml:space="preserve">муниципальное предприятие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реализация имущества хозяйствующими субъектами, доля участия города Нижнего Новгорода в которых составляет 50 и более процентов, осуществлялась на основе публичных торгов или иных конкурентных процедур;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доля организаций частной формы собственности в сфере выполнения работ по благоустройству городской среды составила 63,6 %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проведены </w:t>
      </w:r>
      <w:r>
        <w:rPr>
          <w:rFonts w:ascii="Times New Roman" w:hAnsi="Times New Roman"/>
          <w:sz w:val="28"/>
          <w:szCs w:val="28"/>
        </w:rPr>
        <w:t xml:space="preserve">251 </w:t>
      </w:r>
      <w:r>
        <w:rPr>
          <w:rFonts w:ascii="Times New Roman" w:hAnsi="Times New Roman"/>
          <w:sz w:val="28"/>
          <w:szCs w:val="28"/>
        </w:rPr>
        <w:t xml:space="preserve">инвентаризации имущества, закрепленного на праве оперативного управления за муниципальными учреждениями социальной сферы в соответствии с  постановлением администра</w:t>
      </w:r>
      <w:r>
        <w:rPr>
          <w:rFonts w:ascii="Times New Roman" w:hAnsi="Times New Roman"/>
          <w:sz w:val="28"/>
          <w:szCs w:val="28"/>
        </w:rPr>
        <w:t xml:space="preserve">ции города Нижнего Новгорода от 05.11.2019 № 4173 «Об утверждении Плана проведения инвентаризации имущества, закрепленного на праве оперативного управления за муниципальными учреждениями социальной сферы, состава и Порядка формирования и работы комиссий дл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 проведения инвентаризации, формы отчетов»;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проведено 22 выставок/ярмарок, включая организацию дополнительных площадок "Покупайте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нижегородское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"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в целя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развития механизмов поддержки технического и научно-технического творчества детей и молодежи, а также повышение их информированности о потенциальных возможностях саморазвития, обеспечение поддержки научной, творческой и предпринимательской активности 10 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0 человек, приняли участие в мероприятиях, направленных на развитие научно-технического творчества;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в целях обеспечения равных условий доступа к информации о имуществе, находящемся в собственности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города Нижнего Новгорода на официальном сайте администрации города Нижнего Новгорода в информационно-телекоммуникационной сети «Интернет» размещена актуальная информация об объектах, находящихся в муниципальной собственности города Нижнего Новгорода, имущ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естве, находящемся в собственности города Нижнего Новгорода,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пользование;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проведена актуализация и опубликован на официальном сайте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города Нижнего Новгорода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t xml:space="preserve">реестр хозяйствующих субъектов </w:t>
      </w:r>
      <w:r>
        <w:rPr>
          <w:rFonts w:ascii="Times New Roman" w:hAnsi="Times New Roman"/>
          <w:iCs/>
          <w:sz w:val="28"/>
          <w:szCs w:val="28"/>
        </w:rPr>
        <w:t xml:space="preserve">(в том числе учреждений</w:t>
      </w:r>
      <w:r>
        <w:rPr>
          <w:rFonts w:ascii="Times New Roman" w:hAnsi="Times New Roman"/>
          <w:sz w:val="28"/>
          <w:szCs w:val="28"/>
        </w:rPr>
        <w:t xml:space="preserve">), доля участия муниципального образования в которых составляет 50 и более процентов;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проведены процедуры оценки регулирующего воздействия </w:t>
      </w:r>
      <w:r>
        <w:rPr>
          <w:rFonts w:ascii="Times New Roman" w:hAnsi="Times New Roman"/>
          <w:sz w:val="28"/>
          <w:szCs w:val="28"/>
        </w:rPr>
        <w:t xml:space="preserve">24</w:t>
      </w:r>
      <w:r>
        <w:rPr>
          <w:rFonts w:ascii="Times New Roman" w:hAnsi="Times New Roman"/>
          <w:sz w:val="28"/>
          <w:szCs w:val="28"/>
        </w:rPr>
        <w:t xml:space="preserve"> проектов нормативных правовых актов администрации города Нижнего Новгорода, затрагивающих вопросы предпринимательской и инвестиционной деятельности, в рамках </w:t>
      </w:r>
      <w:r>
        <w:rPr>
          <w:rFonts w:ascii="Times New Roman" w:hAnsi="Times New Roman"/>
          <w:sz w:val="28"/>
          <w:szCs w:val="28"/>
        </w:rPr>
        <w:t xml:space="preserve">данных процедур </w:t>
      </w:r>
      <w:r>
        <w:rPr>
          <w:rFonts w:ascii="Times New Roman" w:hAnsi="Times New Roman"/>
          <w:sz w:val="28"/>
          <w:szCs w:val="28"/>
        </w:rPr>
        <w:t xml:space="preserve">проводился анализа влияния данных проектов на развитие конкуренции.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0"/>
        <w:jc w:val="both"/>
        <w:spacing w:before="24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701" w:header="709" w:footer="505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NewRomanPSMT">
    <w:panose1 w:val="02020603050405020304"/>
  </w:font>
  <w:font w:name="SimSun">
    <w:panose1 w:val="02000506000000020000"/>
  </w:font>
  <w:font w:name="Courier New">
    <w:panose1 w:val="02070309020205020404"/>
  </w:font>
  <w:font w:name="Mangal">
    <w:panose1 w:val="02040503050406030204"/>
  </w:font>
  <w:font w:name="ZapfDingbatsITC">
    <w:panose1 w:val="02000603000000000000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  <w:jc w:val="center"/>
    </w:pPr>
    <w:fldSimple w:instr="PAGE \* MERGEFORMAT">
      <w:r>
        <w:t xml:space="preserve">1</w:t>
      </w:r>
    </w:fldSimple>
    <w:r/>
    <w:r/>
  </w:p>
  <w:p>
    <w:pPr>
      <w:pStyle w:val="94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4" w:firstLine="425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502" w:hanging="360"/>
      </w:pPr>
      <w:rPr>
        <w:rFonts w:hint="default"/>
        <w:sz w:val="14"/>
        <w:szCs w:val="14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8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314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7034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7754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8474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9194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9914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10634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11354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15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235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5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7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95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1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3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55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75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egacy w:legacy="1" w:legacyIndent="702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15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235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5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7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95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1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3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55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75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15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235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5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7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95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1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3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55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75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15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235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5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7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95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1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3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55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75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14"/>
  </w:num>
  <w:num w:numId="2">
    <w:abstractNumId w:val="16"/>
  </w:num>
  <w:num w:numId="3">
    <w:abstractNumId w:val="22"/>
  </w:num>
  <w:num w:numId="4">
    <w:abstractNumId w:val="23"/>
  </w:num>
  <w:num w:numId="5">
    <w:abstractNumId w:val="3"/>
  </w:num>
  <w:num w:numId="6">
    <w:abstractNumId w:val="25"/>
  </w:num>
  <w:num w:numId="7">
    <w:abstractNumId w:val="26"/>
  </w:num>
  <w:num w:numId="8">
    <w:abstractNumId w:val="17"/>
  </w:num>
  <w:num w:numId="9">
    <w:abstractNumId w:val="9"/>
  </w:num>
  <w:num w:numId="10">
    <w:abstractNumId w:val="15"/>
  </w:num>
  <w:num w:numId="11">
    <w:abstractNumId w:val="5"/>
  </w:num>
  <w:num w:numId="12">
    <w:abstractNumId w:val="21"/>
  </w:num>
  <w:num w:numId="13">
    <w:abstractNumId w:val="13"/>
  </w:num>
  <w:num w:numId="14">
    <w:abstractNumId w:val="8"/>
  </w:num>
  <w:num w:numId="15">
    <w:abstractNumId w:val="10"/>
  </w:num>
  <w:num w:numId="16">
    <w:abstractNumId w:val="1"/>
  </w:num>
  <w:num w:numId="17">
    <w:abstractNumId w:val="20"/>
  </w:num>
  <w:num w:numId="18">
    <w:abstractNumId w:val="12"/>
  </w:num>
  <w:num w:numId="19">
    <w:abstractNumId w:val="7"/>
  </w:num>
  <w:num w:numId="20">
    <w:abstractNumId w:val="19"/>
  </w:num>
  <w:num w:numId="21">
    <w:abstractNumId w:val="18"/>
  </w:num>
  <w:num w:numId="22">
    <w:abstractNumId w:val="11"/>
  </w:num>
  <w:num w:numId="23">
    <w:abstractNumId w:val="6"/>
  </w:num>
  <w:num w:numId="24">
    <w:abstractNumId w:val="4"/>
  </w:num>
  <w:num w:numId="25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159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26">
    <w:abstractNumId w:val="24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145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30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151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31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144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32">
    <w:abstractNumId w:val="27"/>
  </w:num>
  <w:num w:numId="33">
    <w:abstractNumId w:val="28"/>
  </w:num>
  <w:num w:numId="34">
    <w:abstractNumId w:val="29"/>
  </w:num>
  <w:num w:numId="35">
    <w:abstractNumId w:val="30"/>
  </w:num>
  <w:num w:numId="36">
    <w:abstractNumId w:val="31"/>
  </w:num>
  <w:num w:numId="37">
    <w:abstractNumId w:val="32"/>
  </w:num>
  <w:num w:numId="38">
    <w:abstractNumId w:val="33"/>
  </w:num>
  <w:num w:numId="39">
    <w:abstractNumId w:val="34"/>
  </w:num>
  <w:num w:numId="40">
    <w:abstractNumId w:val="35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6">
    <w:name w:val="Heading 1 Char"/>
    <w:basedOn w:val="912"/>
    <w:link w:val="909"/>
    <w:uiPriority w:val="9"/>
    <w:rPr>
      <w:rFonts w:ascii="Arial" w:hAnsi="Arial" w:eastAsia="Arial" w:cs="Arial"/>
      <w:sz w:val="40"/>
      <w:szCs w:val="40"/>
    </w:rPr>
  </w:style>
  <w:style w:type="character" w:styleId="747">
    <w:name w:val="Heading 2 Char"/>
    <w:basedOn w:val="912"/>
    <w:link w:val="910"/>
    <w:uiPriority w:val="9"/>
    <w:rPr>
      <w:rFonts w:ascii="Arial" w:hAnsi="Arial" w:eastAsia="Arial" w:cs="Arial"/>
      <w:sz w:val="34"/>
    </w:rPr>
  </w:style>
  <w:style w:type="character" w:styleId="748">
    <w:name w:val="Heading 3 Char"/>
    <w:basedOn w:val="912"/>
    <w:link w:val="911"/>
    <w:uiPriority w:val="9"/>
    <w:rPr>
      <w:rFonts w:ascii="Arial" w:hAnsi="Arial" w:eastAsia="Arial" w:cs="Arial"/>
      <w:sz w:val="30"/>
      <w:szCs w:val="30"/>
    </w:rPr>
  </w:style>
  <w:style w:type="paragraph" w:styleId="749">
    <w:name w:val="Heading 4"/>
    <w:basedOn w:val="908"/>
    <w:next w:val="908"/>
    <w:link w:val="7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0">
    <w:name w:val="Heading 4 Char"/>
    <w:basedOn w:val="912"/>
    <w:link w:val="749"/>
    <w:uiPriority w:val="9"/>
    <w:rPr>
      <w:rFonts w:ascii="Arial" w:hAnsi="Arial" w:eastAsia="Arial" w:cs="Arial"/>
      <w:b/>
      <w:bCs/>
      <w:sz w:val="26"/>
      <w:szCs w:val="26"/>
    </w:rPr>
  </w:style>
  <w:style w:type="paragraph" w:styleId="751">
    <w:name w:val="Heading 5"/>
    <w:basedOn w:val="908"/>
    <w:next w:val="908"/>
    <w:link w:val="7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2">
    <w:name w:val="Heading 5 Char"/>
    <w:basedOn w:val="912"/>
    <w:link w:val="751"/>
    <w:uiPriority w:val="9"/>
    <w:rPr>
      <w:rFonts w:ascii="Arial" w:hAnsi="Arial" w:eastAsia="Arial" w:cs="Arial"/>
      <w:b/>
      <w:bCs/>
      <w:sz w:val="24"/>
      <w:szCs w:val="24"/>
    </w:rPr>
  </w:style>
  <w:style w:type="paragraph" w:styleId="753">
    <w:name w:val="Heading 6"/>
    <w:basedOn w:val="908"/>
    <w:next w:val="908"/>
    <w:link w:val="7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4">
    <w:name w:val="Heading 6 Char"/>
    <w:basedOn w:val="912"/>
    <w:link w:val="753"/>
    <w:uiPriority w:val="9"/>
    <w:rPr>
      <w:rFonts w:ascii="Arial" w:hAnsi="Arial" w:eastAsia="Arial" w:cs="Arial"/>
      <w:b/>
      <w:bCs/>
      <w:sz w:val="22"/>
      <w:szCs w:val="22"/>
    </w:rPr>
  </w:style>
  <w:style w:type="paragraph" w:styleId="755">
    <w:name w:val="Heading 7"/>
    <w:basedOn w:val="908"/>
    <w:next w:val="908"/>
    <w:link w:val="7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6">
    <w:name w:val="Heading 7 Char"/>
    <w:basedOn w:val="912"/>
    <w:link w:val="7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7">
    <w:name w:val="Heading 8"/>
    <w:basedOn w:val="908"/>
    <w:next w:val="908"/>
    <w:link w:val="7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8">
    <w:name w:val="Heading 8 Char"/>
    <w:basedOn w:val="912"/>
    <w:link w:val="757"/>
    <w:uiPriority w:val="9"/>
    <w:rPr>
      <w:rFonts w:ascii="Arial" w:hAnsi="Arial" w:eastAsia="Arial" w:cs="Arial"/>
      <w:i/>
      <w:iCs/>
      <w:sz w:val="22"/>
      <w:szCs w:val="22"/>
    </w:rPr>
  </w:style>
  <w:style w:type="paragraph" w:styleId="759">
    <w:name w:val="Heading 9"/>
    <w:basedOn w:val="908"/>
    <w:next w:val="908"/>
    <w:link w:val="7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0">
    <w:name w:val="Heading 9 Char"/>
    <w:basedOn w:val="912"/>
    <w:link w:val="759"/>
    <w:uiPriority w:val="9"/>
    <w:rPr>
      <w:rFonts w:ascii="Arial" w:hAnsi="Arial" w:eastAsia="Arial" w:cs="Arial"/>
      <w:i/>
      <w:iCs/>
      <w:sz w:val="21"/>
      <w:szCs w:val="21"/>
    </w:rPr>
  </w:style>
  <w:style w:type="paragraph" w:styleId="761">
    <w:name w:val="Title"/>
    <w:basedOn w:val="908"/>
    <w:next w:val="908"/>
    <w:link w:val="7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2">
    <w:name w:val="Title Char"/>
    <w:basedOn w:val="912"/>
    <w:link w:val="761"/>
    <w:uiPriority w:val="10"/>
    <w:rPr>
      <w:sz w:val="48"/>
      <w:szCs w:val="48"/>
    </w:rPr>
  </w:style>
  <w:style w:type="paragraph" w:styleId="763">
    <w:name w:val="Subtitle"/>
    <w:basedOn w:val="908"/>
    <w:next w:val="908"/>
    <w:link w:val="764"/>
    <w:uiPriority w:val="11"/>
    <w:qFormat/>
    <w:pPr>
      <w:spacing w:before="200" w:after="200"/>
    </w:pPr>
    <w:rPr>
      <w:sz w:val="24"/>
      <w:szCs w:val="24"/>
    </w:rPr>
  </w:style>
  <w:style w:type="character" w:styleId="764">
    <w:name w:val="Subtitle Char"/>
    <w:basedOn w:val="912"/>
    <w:link w:val="763"/>
    <w:uiPriority w:val="11"/>
    <w:rPr>
      <w:sz w:val="24"/>
      <w:szCs w:val="24"/>
    </w:rPr>
  </w:style>
  <w:style w:type="paragraph" w:styleId="765">
    <w:name w:val="Quote"/>
    <w:basedOn w:val="908"/>
    <w:next w:val="908"/>
    <w:link w:val="766"/>
    <w:uiPriority w:val="29"/>
    <w:qFormat/>
    <w:pPr>
      <w:ind w:left="720" w:right="720"/>
    </w:pPr>
    <w:rPr>
      <w:i/>
    </w:rPr>
  </w:style>
  <w:style w:type="character" w:styleId="766">
    <w:name w:val="Quote Char"/>
    <w:link w:val="765"/>
    <w:uiPriority w:val="29"/>
    <w:rPr>
      <w:i/>
    </w:rPr>
  </w:style>
  <w:style w:type="paragraph" w:styleId="767">
    <w:name w:val="Intense Quote"/>
    <w:basedOn w:val="908"/>
    <w:next w:val="908"/>
    <w:link w:val="76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8">
    <w:name w:val="Intense Quote Char"/>
    <w:link w:val="767"/>
    <w:uiPriority w:val="30"/>
    <w:rPr>
      <w:i/>
    </w:rPr>
  </w:style>
  <w:style w:type="character" w:styleId="769">
    <w:name w:val="Header Char"/>
    <w:basedOn w:val="912"/>
    <w:link w:val="940"/>
    <w:uiPriority w:val="99"/>
  </w:style>
  <w:style w:type="character" w:styleId="770">
    <w:name w:val="Footer Char"/>
    <w:basedOn w:val="912"/>
    <w:link w:val="942"/>
    <w:uiPriority w:val="99"/>
  </w:style>
  <w:style w:type="character" w:styleId="771">
    <w:name w:val="Caption Char"/>
    <w:basedOn w:val="947"/>
    <w:link w:val="942"/>
    <w:uiPriority w:val="99"/>
  </w:style>
  <w:style w:type="table" w:styleId="772">
    <w:name w:val="Table Grid Light"/>
    <w:basedOn w:val="9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Plain Table 1"/>
    <w:basedOn w:val="9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2"/>
    <w:basedOn w:val="9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6">
    <w:name w:val="Plain Table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Plain Table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8">
    <w:name w:val="Grid Table 1 Light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4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0">
    <w:name w:val="Grid Table 4 - Accent 1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1">
    <w:name w:val="Grid Table 4 - Accent 2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Grid Table 4 - Accent 3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3">
    <w:name w:val="Grid Table 4 - Accent 4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Grid Table 4 - Accent 5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5">
    <w:name w:val="Grid Table 4 - Accent 6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6">
    <w:name w:val="Grid Table 5 Dark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7">
    <w:name w:val="Grid Table 5 Dark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0">
    <w:name w:val="Grid Table 5 Dark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3">
    <w:name w:val="Grid Table 6 Colorful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4">
    <w:name w:val="Grid Table 6 Colorful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5">
    <w:name w:val="Grid Table 6 Colorful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6">
    <w:name w:val="Grid Table 6 Colorful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7">
    <w:name w:val="Grid Table 6 Colorful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8">
    <w:name w:val="Grid Table 6 Colorful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6 Colorful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0">
    <w:name w:val="Grid Table 7 Colorful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5">
    <w:name w:val="List Table 2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6">
    <w:name w:val="List Table 2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7">
    <w:name w:val="List Table 2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8">
    <w:name w:val="List Table 2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9">
    <w:name w:val="List Table 2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0">
    <w:name w:val="List Table 2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1">
    <w:name w:val="List Table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5 Dark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6 Colorful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3">
    <w:name w:val="List Table 6 Colorful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4">
    <w:name w:val="List Table 6 Colorful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5">
    <w:name w:val="List Table 6 Colorful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6">
    <w:name w:val="List Table 6 Colorful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7">
    <w:name w:val="List Table 6 Colorful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8">
    <w:name w:val="List Table 6 Colorful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9">
    <w:name w:val="List Table 7 Colorful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0">
    <w:name w:val="List Table 7 Colorful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1">
    <w:name w:val="List Table 7 Colorful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2">
    <w:name w:val="List Table 7 Colorful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3">
    <w:name w:val="List Table 7 Colorful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4">
    <w:name w:val="List Table 7 Colorful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5">
    <w:name w:val="List Table 7 Colorful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6">
    <w:name w:val="Lined - Accent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Lined - Accent 1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8">
    <w:name w:val="Lined - Accent 2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9">
    <w:name w:val="Lined - Accent 3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0">
    <w:name w:val="Lined - Accent 4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1">
    <w:name w:val="Lined - Accent 5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2">
    <w:name w:val="Lined - Accent 6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3">
    <w:name w:val="Bordered &amp; Lined - Accent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4">
    <w:name w:val="Bordered &amp; Lined - Accent 1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5">
    <w:name w:val="Bordered &amp; Lined - Accent 2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6">
    <w:name w:val="Bordered &amp; Lined - Accent 3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7">
    <w:name w:val="Bordered &amp; Lined - Accent 4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8">
    <w:name w:val="Bordered &amp; Lined - Accent 5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9">
    <w:name w:val="Bordered &amp; Lined - Accent 6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0">
    <w:name w:val="Bordered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1">
    <w:name w:val="Bordered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2">
    <w:name w:val="Bordered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3">
    <w:name w:val="Bordered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4">
    <w:name w:val="Bordered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5">
    <w:name w:val="Bordered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6">
    <w:name w:val="Bordered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7">
    <w:name w:val="Footnote Text Char"/>
    <w:link w:val="927"/>
    <w:uiPriority w:val="99"/>
    <w:rPr>
      <w:sz w:val="18"/>
    </w:rPr>
  </w:style>
  <w:style w:type="paragraph" w:styleId="898">
    <w:name w:val="endnote text"/>
    <w:basedOn w:val="908"/>
    <w:link w:val="899"/>
    <w:uiPriority w:val="99"/>
    <w:semiHidden/>
    <w:unhideWhenUsed/>
    <w:pPr>
      <w:spacing w:after="0" w:line="240" w:lineRule="auto"/>
    </w:pPr>
    <w:rPr>
      <w:sz w:val="20"/>
    </w:rPr>
  </w:style>
  <w:style w:type="character" w:styleId="899">
    <w:name w:val="Endnote Text Char"/>
    <w:link w:val="898"/>
    <w:uiPriority w:val="99"/>
    <w:rPr>
      <w:sz w:val="20"/>
    </w:rPr>
  </w:style>
  <w:style w:type="character" w:styleId="900">
    <w:name w:val="endnote reference"/>
    <w:basedOn w:val="912"/>
    <w:uiPriority w:val="99"/>
    <w:semiHidden/>
    <w:unhideWhenUsed/>
    <w:rPr>
      <w:vertAlign w:val="superscript"/>
    </w:rPr>
  </w:style>
  <w:style w:type="paragraph" w:styleId="901">
    <w:name w:val="toc 4"/>
    <w:basedOn w:val="908"/>
    <w:next w:val="908"/>
    <w:uiPriority w:val="39"/>
    <w:unhideWhenUsed/>
    <w:pPr>
      <w:ind w:left="850" w:right="0" w:firstLine="0"/>
      <w:spacing w:after="57"/>
    </w:pPr>
  </w:style>
  <w:style w:type="paragraph" w:styleId="902">
    <w:name w:val="toc 5"/>
    <w:basedOn w:val="908"/>
    <w:next w:val="908"/>
    <w:uiPriority w:val="39"/>
    <w:unhideWhenUsed/>
    <w:pPr>
      <w:ind w:left="1134" w:right="0" w:firstLine="0"/>
      <w:spacing w:after="57"/>
    </w:pPr>
  </w:style>
  <w:style w:type="paragraph" w:styleId="903">
    <w:name w:val="toc 6"/>
    <w:basedOn w:val="908"/>
    <w:next w:val="908"/>
    <w:uiPriority w:val="39"/>
    <w:unhideWhenUsed/>
    <w:pPr>
      <w:ind w:left="1417" w:right="0" w:firstLine="0"/>
      <w:spacing w:after="57"/>
    </w:pPr>
  </w:style>
  <w:style w:type="paragraph" w:styleId="904">
    <w:name w:val="toc 7"/>
    <w:basedOn w:val="908"/>
    <w:next w:val="908"/>
    <w:uiPriority w:val="39"/>
    <w:unhideWhenUsed/>
    <w:pPr>
      <w:ind w:left="1701" w:right="0" w:firstLine="0"/>
      <w:spacing w:after="57"/>
    </w:pPr>
  </w:style>
  <w:style w:type="paragraph" w:styleId="905">
    <w:name w:val="toc 8"/>
    <w:basedOn w:val="908"/>
    <w:next w:val="908"/>
    <w:uiPriority w:val="39"/>
    <w:unhideWhenUsed/>
    <w:pPr>
      <w:ind w:left="1984" w:right="0" w:firstLine="0"/>
      <w:spacing w:after="57"/>
    </w:pPr>
  </w:style>
  <w:style w:type="paragraph" w:styleId="906">
    <w:name w:val="toc 9"/>
    <w:basedOn w:val="908"/>
    <w:next w:val="908"/>
    <w:uiPriority w:val="39"/>
    <w:unhideWhenUsed/>
    <w:pPr>
      <w:ind w:left="2268" w:right="0" w:firstLine="0"/>
      <w:spacing w:after="57"/>
    </w:pPr>
  </w:style>
  <w:style w:type="paragraph" w:styleId="907">
    <w:name w:val="table of figures"/>
    <w:basedOn w:val="908"/>
    <w:next w:val="908"/>
    <w:uiPriority w:val="99"/>
    <w:unhideWhenUsed/>
    <w:pPr>
      <w:spacing w:after="0" w:afterAutospacing="0"/>
    </w:pPr>
  </w:style>
  <w:style w:type="paragraph" w:styleId="908" w:default="1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909">
    <w:name w:val="Heading 1"/>
    <w:basedOn w:val="908"/>
    <w:next w:val="908"/>
    <w:link w:val="915"/>
    <w:uiPriority w:val="9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910">
    <w:name w:val="Heading 2"/>
    <w:basedOn w:val="908"/>
    <w:link w:val="916"/>
    <w:uiPriority w:val="99"/>
    <w:qFormat/>
    <w:pPr>
      <w:spacing w:before="180" w:after="75" w:line="240" w:lineRule="auto"/>
      <w:outlineLvl w:val="1"/>
    </w:pPr>
    <w:rPr>
      <w:rFonts w:ascii="Times New Roman" w:hAnsi="Times New Roman" w:eastAsia="Calibri"/>
      <w:color w:val="333333"/>
      <w:sz w:val="26"/>
      <w:szCs w:val="26"/>
    </w:rPr>
  </w:style>
  <w:style w:type="paragraph" w:styleId="911">
    <w:name w:val="Heading 3"/>
    <w:basedOn w:val="908"/>
    <w:next w:val="908"/>
    <w:link w:val="958"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912" w:default="1">
    <w:name w:val="Default Paragraph Font"/>
    <w:uiPriority w:val="1"/>
    <w:semiHidden/>
    <w:unhideWhenUsed/>
  </w:style>
  <w:style w:type="table" w:styleId="91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4" w:default="1">
    <w:name w:val="No List"/>
    <w:uiPriority w:val="99"/>
    <w:semiHidden/>
    <w:unhideWhenUsed/>
  </w:style>
  <w:style w:type="character" w:styleId="915" w:customStyle="1">
    <w:name w:val="Заголовок 1 Знак"/>
    <w:basedOn w:val="912"/>
    <w:link w:val="909"/>
    <w:uiPriority w:val="99"/>
    <w:rPr>
      <w:rFonts w:ascii="Cambria" w:hAnsi="Cambria" w:cs="Times New Roman"/>
      <w:b/>
      <w:sz w:val="32"/>
    </w:rPr>
  </w:style>
  <w:style w:type="character" w:styleId="916" w:customStyle="1">
    <w:name w:val="Заголовок 2 Знак"/>
    <w:basedOn w:val="912"/>
    <w:link w:val="910"/>
    <w:uiPriority w:val="99"/>
    <w:rPr>
      <w:rFonts w:ascii="Times New Roman" w:hAnsi="Times New Roman" w:cs="Times New Roman"/>
      <w:color w:val="333333"/>
      <w:sz w:val="26"/>
      <w:lang w:eastAsia="ru-RU"/>
    </w:rPr>
  </w:style>
  <w:style w:type="paragraph" w:styleId="917">
    <w:name w:val="List Paragraph"/>
    <w:basedOn w:val="908"/>
    <w:uiPriority w:val="34"/>
    <w:qFormat/>
    <w:pPr>
      <w:contextualSpacing/>
      <w:ind w:left="720"/>
    </w:pPr>
    <w:rPr>
      <w:rFonts w:eastAsia="Calibri"/>
      <w:lang w:eastAsia="en-US"/>
    </w:rPr>
  </w:style>
  <w:style w:type="character" w:styleId="918">
    <w:name w:val="Strong"/>
    <w:basedOn w:val="912"/>
    <w:qFormat/>
    <w:rPr>
      <w:rFonts w:cs="Times New Roman"/>
      <w:b/>
    </w:rPr>
  </w:style>
  <w:style w:type="paragraph" w:styleId="919">
    <w:name w:val="Normal (Web)"/>
    <w:basedOn w:val="908"/>
    <w:link w:val="945"/>
    <w:uiPriority w:val="99"/>
    <w:pPr>
      <w:spacing w:before="210" w:after="210" w:line="240" w:lineRule="auto"/>
    </w:pPr>
    <w:rPr>
      <w:rFonts w:ascii="Times New Roman" w:hAnsi="Times New Roman" w:eastAsia="Calibri"/>
      <w:sz w:val="24"/>
      <w:szCs w:val="20"/>
    </w:rPr>
  </w:style>
  <w:style w:type="paragraph" w:styleId="920" w:customStyle="1">
    <w:name w:val="Default"/>
    <w:rPr>
      <w:rFonts w:ascii="Arial" w:hAnsi="Arial" w:cs="Arial"/>
      <w:color w:val="000000"/>
      <w:sz w:val="24"/>
      <w:szCs w:val="24"/>
      <w:lang w:eastAsia="en-US"/>
    </w:rPr>
  </w:style>
  <w:style w:type="paragraph" w:styleId="921">
    <w:name w:val="Balloon Text"/>
    <w:basedOn w:val="908"/>
    <w:link w:val="922"/>
    <w:uiPriority w:val="99"/>
    <w:semiHidden/>
    <w:pPr>
      <w:spacing w:after="0" w:line="240" w:lineRule="auto"/>
    </w:pPr>
    <w:rPr>
      <w:rFonts w:ascii="Tahoma" w:hAnsi="Tahoma" w:eastAsia="Calibri"/>
      <w:sz w:val="16"/>
      <w:szCs w:val="16"/>
    </w:rPr>
  </w:style>
  <w:style w:type="character" w:styleId="922" w:customStyle="1">
    <w:name w:val="Текст выноски Знак"/>
    <w:basedOn w:val="912"/>
    <w:link w:val="921"/>
    <w:uiPriority w:val="99"/>
    <w:semiHidden/>
    <w:rPr>
      <w:rFonts w:ascii="Tahoma" w:hAnsi="Tahoma" w:cs="Times New Roman"/>
      <w:sz w:val="16"/>
      <w:lang w:eastAsia="ru-RU"/>
    </w:rPr>
  </w:style>
  <w:style w:type="character" w:styleId="923" w:customStyle="1">
    <w:name w:val="apple-converted-space"/>
    <w:uiPriority w:val="99"/>
  </w:style>
  <w:style w:type="paragraph" w:styleId="924" w:customStyle="1">
    <w:name w:val="ConsPlusNormal"/>
    <w:rPr>
      <w:rFonts w:ascii="Times New Roman" w:hAnsi="Times New Roman"/>
      <w:sz w:val="28"/>
      <w:szCs w:val="28"/>
    </w:rPr>
  </w:style>
  <w:style w:type="paragraph" w:styleId="925" w:customStyle="1">
    <w:name w:val="section1"/>
    <w:basedOn w:val="908"/>
    <w:uiPriority w:val="99"/>
    <w:pPr>
      <w:spacing w:before="100" w:beforeAutospacing="1" w:after="100" w:afterAutospacing="1" w:line="240" w:lineRule="auto"/>
    </w:pPr>
    <w:rPr>
      <w:rFonts w:ascii="Times New Roman" w:hAnsi="Times New Roman" w:eastAsia="Calibri"/>
      <w:sz w:val="24"/>
      <w:szCs w:val="24"/>
    </w:rPr>
  </w:style>
  <w:style w:type="character" w:styleId="926">
    <w:name w:val="Emphasis"/>
    <w:basedOn w:val="912"/>
    <w:qFormat/>
    <w:rPr>
      <w:rFonts w:cs="Times New Roman"/>
      <w:i/>
    </w:rPr>
  </w:style>
  <w:style w:type="paragraph" w:styleId="927">
    <w:name w:val="footnote text"/>
    <w:basedOn w:val="908"/>
    <w:link w:val="928"/>
    <w:pPr>
      <w:spacing w:after="0" w:line="240" w:lineRule="auto"/>
    </w:pPr>
    <w:rPr>
      <w:rFonts w:eastAsia="Calibri"/>
      <w:sz w:val="20"/>
      <w:szCs w:val="20"/>
    </w:rPr>
  </w:style>
  <w:style w:type="character" w:styleId="928" w:customStyle="1">
    <w:name w:val="Текст сноски Знак"/>
    <w:basedOn w:val="912"/>
    <w:link w:val="927"/>
    <w:rPr>
      <w:rFonts w:ascii="Calibri" w:hAnsi="Calibri" w:cs="Times New Roman"/>
      <w:lang w:val="ru-RU" w:eastAsia="ru-RU"/>
    </w:rPr>
  </w:style>
  <w:style w:type="character" w:styleId="929">
    <w:name w:val="footnote reference"/>
    <w:basedOn w:val="912"/>
    <w:rPr>
      <w:rFonts w:cs="Times New Roman"/>
      <w:vertAlign w:val="superscript"/>
    </w:rPr>
  </w:style>
  <w:style w:type="character" w:styleId="930" w:customStyle="1">
    <w:name w:val="apple-style-span"/>
    <w:basedOn w:val="912"/>
    <w:uiPriority w:val="99"/>
    <w:rPr>
      <w:rFonts w:cs="Times New Roman"/>
    </w:rPr>
  </w:style>
  <w:style w:type="paragraph" w:styleId="931" w:customStyle="1">
    <w:name w:val="Основной текст 21"/>
    <w:basedOn w:val="908"/>
    <w:uiPriority w:val="99"/>
    <w:pPr>
      <w:ind w:firstLine="720"/>
      <w:jc w:val="both"/>
      <w:spacing w:after="0" w:line="240" w:lineRule="auto"/>
      <w:widowControl w:val="off"/>
    </w:pPr>
    <w:rPr>
      <w:rFonts w:ascii="Times New Roman" w:hAnsi="Times New Roman"/>
      <w:sz w:val="24"/>
      <w:szCs w:val="20"/>
    </w:rPr>
  </w:style>
  <w:style w:type="paragraph" w:styleId="932">
    <w:name w:val="Body Text Indent"/>
    <w:basedOn w:val="908"/>
    <w:link w:val="933"/>
    <w:uiPriority w:val="99"/>
    <w:pPr>
      <w:ind w:left="283"/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933" w:customStyle="1">
    <w:name w:val="Основной текст с отступом Знак1"/>
    <w:basedOn w:val="912"/>
    <w:link w:val="932"/>
    <w:uiPriority w:val="99"/>
    <w:rPr>
      <w:rFonts w:ascii="Times New Roman" w:hAnsi="Times New Roman" w:cs="Times New Roman"/>
      <w:sz w:val="24"/>
    </w:rPr>
  </w:style>
  <w:style w:type="character" w:styleId="934" w:customStyle="1">
    <w:name w:val="Основной текст с отступом Знак"/>
    <w:uiPriority w:val="99"/>
    <w:semiHidden/>
    <w:rPr>
      <w:rFonts w:eastAsia="Times New Roman"/>
      <w:sz w:val="22"/>
    </w:rPr>
  </w:style>
  <w:style w:type="paragraph" w:styleId="935" w:customStyle="1">
    <w:name w:val="Body Text 22"/>
    <w:basedOn w:val="908"/>
    <w:uiPriority w:val="99"/>
    <w:pPr>
      <w:ind w:firstLine="720"/>
      <w:jc w:val="both"/>
      <w:spacing w:after="0" w:line="240" w:lineRule="auto"/>
      <w:widowControl w:val="off"/>
    </w:pPr>
    <w:rPr>
      <w:rFonts w:ascii="Times New Roman" w:hAnsi="Times New Roman"/>
      <w:sz w:val="24"/>
      <w:szCs w:val="20"/>
    </w:rPr>
  </w:style>
  <w:style w:type="paragraph" w:styleId="936">
    <w:name w:val="Body Text"/>
    <w:basedOn w:val="908"/>
    <w:link w:val="937"/>
    <w:uiPriority w:val="9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937" w:customStyle="1">
    <w:name w:val="Основной текст Знак"/>
    <w:basedOn w:val="912"/>
    <w:link w:val="936"/>
    <w:uiPriority w:val="99"/>
    <w:rPr>
      <w:rFonts w:ascii="Times New Roman" w:hAnsi="Times New Roman" w:cs="Times New Roman"/>
      <w:sz w:val="24"/>
    </w:rPr>
  </w:style>
  <w:style w:type="table" w:styleId="938">
    <w:name w:val="Table Grid"/>
    <w:basedOn w:val="913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9" w:customStyle="1">
    <w:name w:val="Основной текст 22"/>
    <w:basedOn w:val="908"/>
    <w:uiPriority w:val="99"/>
    <w:pPr>
      <w:ind w:firstLine="720"/>
      <w:jc w:val="both"/>
      <w:spacing w:after="0" w:line="240" w:lineRule="auto"/>
      <w:widowControl w:val="off"/>
    </w:pPr>
    <w:rPr>
      <w:rFonts w:ascii="Times New Roman" w:hAnsi="Times New Roman"/>
      <w:sz w:val="24"/>
      <w:szCs w:val="20"/>
    </w:rPr>
  </w:style>
  <w:style w:type="paragraph" w:styleId="940">
    <w:name w:val="Header"/>
    <w:basedOn w:val="908"/>
    <w:link w:val="941"/>
    <w:uiPriority w:val="99"/>
    <w:semiHidden/>
    <w:pPr>
      <w:tabs>
        <w:tab w:val="center" w:pos="4677" w:leader="none"/>
        <w:tab w:val="right" w:pos="9355" w:leader="none"/>
      </w:tabs>
    </w:pPr>
  </w:style>
  <w:style w:type="character" w:styleId="941" w:customStyle="1">
    <w:name w:val="Верхний колонтитул Знак"/>
    <w:basedOn w:val="912"/>
    <w:link w:val="940"/>
    <w:uiPriority w:val="99"/>
    <w:rPr>
      <w:rFonts w:eastAsia="Times New Roman" w:cs="Times New Roman"/>
      <w:sz w:val="22"/>
    </w:rPr>
  </w:style>
  <w:style w:type="paragraph" w:styleId="942">
    <w:name w:val="Footer"/>
    <w:basedOn w:val="908"/>
    <w:link w:val="943"/>
    <w:uiPriority w:val="99"/>
    <w:pPr>
      <w:tabs>
        <w:tab w:val="center" w:pos="4677" w:leader="none"/>
        <w:tab w:val="right" w:pos="9355" w:leader="none"/>
      </w:tabs>
    </w:pPr>
  </w:style>
  <w:style w:type="character" w:styleId="943" w:customStyle="1">
    <w:name w:val="Нижний колонтитул Знак"/>
    <w:basedOn w:val="912"/>
    <w:link w:val="942"/>
    <w:uiPriority w:val="99"/>
    <w:rPr>
      <w:rFonts w:eastAsia="Times New Roman" w:cs="Times New Roman"/>
      <w:sz w:val="22"/>
    </w:rPr>
  </w:style>
  <w:style w:type="character" w:styleId="944">
    <w:name w:val="Hyperlink"/>
    <w:basedOn w:val="912"/>
    <w:uiPriority w:val="99"/>
    <w:rPr>
      <w:rFonts w:cs="Times New Roman"/>
      <w:color w:val="0000ff"/>
      <w:u w:val="single"/>
    </w:rPr>
  </w:style>
  <w:style w:type="character" w:styleId="945" w:customStyle="1">
    <w:name w:val="Обычный (веб) Знак1"/>
    <w:link w:val="919"/>
    <w:uiPriority w:val="99"/>
    <w:rPr>
      <w:rFonts w:ascii="Times New Roman" w:hAnsi="Times New Roman"/>
      <w:sz w:val="24"/>
    </w:rPr>
  </w:style>
  <w:style w:type="paragraph" w:styleId="946" w:customStyle="1">
    <w:name w:val="Без интервала1"/>
    <w:uiPriority w:val="99"/>
    <w:rPr>
      <w:rFonts w:eastAsia="Times New Roman" w:cs="Calibri"/>
      <w:sz w:val="22"/>
      <w:szCs w:val="22"/>
      <w:lang w:eastAsia="en-US"/>
    </w:rPr>
  </w:style>
  <w:style w:type="paragraph" w:styleId="947">
    <w:name w:val="Caption"/>
    <w:basedOn w:val="908"/>
    <w:next w:val="908"/>
    <w:semiHidden/>
    <w:unhideWhenUsed/>
    <w:qFormat/>
    <w:rPr>
      <w:b/>
      <w:bCs/>
      <w:sz w:val="20"/>
      <w:szCs w:val="20"/>
    </w:rPr>
  </w:style>
  <w:style w:type="character" w:styleId="948" w:customStyle="1">
    <w:name w:val="Font Style25"/>
    <w:rPr>
      <w:rFonts w:ascii="Times New Roman" w:hAnsi="Times New Roman" w:cs="Times New Roman"/>
      <w:sz w:val="26"/>
      <w:szCs w:val="26"/>
    </w:rPr>
  </w:style>
  <w:style w:type="paragraph" w:styleId="949" w:customStyle="1">
    <w:name w:val="Standard"/>
    <w:rPr>
      <w:rFonts w:ascii="Arial" w:hAnsi="Arial" w:eastAsia="SimSun" w:cs="Mangal"/>
      <w:sz w:val="24"/>
      <w:szCs w:val="24"/>
      <w:lang w:eastAsia="zh-CN" w:bidi="hi-IN"/>
    </w:rPr>
  </w:style>
  <w:style w:type="paragraph" w:styleId="950">
    <w:name w:val="Document Map"/>
    <w:basedOn w:val="908"/>
    <w:link w:val="95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51" w:customStyle="1">
    <w:name w:val="Схема документа Знак"/>
    <w:basedOn w:val="912"/>
    <w:link w:val="950"/>
    <w:uiPriority w:val="99"/>
    <w:semiHidden/>
    <w:rPr>
      <w:rFonts w:ascii="Tahoma" w:hAnsi="Tahoma" w:eastAsia="Times New Roman" w:cs="Tahoma"/>
      <w:sz w:val="16"/>
      <w:szCs w:val="16"/>
    </w:rPr>
  </w:style>
  <w:style w:type="character" w:styleId="952" w:customStyle="1">
    <w:name w:val="_39_n"/>
    <w:basedOn w:val="912"/>
  </w:style>
  <w:style w:type="character" w:styleId="953" w:customStyle="1">
    <w:name w:val="highlight"/>
    <w:basedOn w:val="912"/>
  </w:style>
  <w:style w:type="paragraph" w:styleId="954">
    <w:name w:val="TOC Heading"/>
    <w:basedOn w:val="909"/>
    <w:next w:val="908"/>
    <w:uiPriority w:val="39"/>
    <w:semiHidden/>
    <w:unhideWhenUsed/>
    <w:qFormat/>
    <w:pPr>
      <w:keepLines/>
      <w:spacing w:before="480" w:after="0"/>
      <w:outlineLvl w:val="9"/>
    </w:pPr>
    <w:rPr>
      <w:rFonts w:asciiTheme="majorHAnsi" w:hAnsiTheme="majorHAnsi" w:eastAsiaTheme="majorEastAsia" w:cstheme="majorBidi"/>
      <w:color w:val="365f91" w:themeColor="accent1" w:themeShade="BF"/>
      <w:sz w:val="28"/>
      <w:szCs w:val="28"/>
      <w:lang w:eastAsia="en-US"/>
    </w:rPr>
  </w:style>
  <w:style w:type="paragraph" w:styleId="955">
    <w:name w:val="toc 2"/>
    <w:basedOn w:val="908"/>
    <w:next w:val="908"/>
    <w:uiPriority w:val="39"/>
    <w:unhideWhenUsed/>
    <w:qFormat/>
    <w:pPr>
      <w:ind w:left="220"/>
      <w:spacing w:after="100"/>
    </w:pPr>
    <w:rPr>
      <w:rFonts w:asciiTheme="minorHAnsi" w:hAnsiTheme="minorHAnsi" w:eastAsiaTheme="minorEastAsia" w:cstheme="minorBidi"/>
      <w:lang w:eastAsia="en-US"/>
    </w:rPr>
  </w:style>
  <w:style w:type="paragraph" w:styleId="956">
    <w:name w:val="toc 1"/>
    <w:basedOn w:val="908"/>
    <w:next w:val="908"/>
    <w:uiPriority w:val="39"/>
    <w:unhideWhenUsed/>
    <w:qFormat/>
    <w:pPr>
      <w:spacing w:after="100"/>
      <w:tabs>
        <w:tab w:val="left" w:pos="426" w:leader="none"/>
        <w:tab w:val="right" w:pos="9344" w:leader="dot"/>
      </w:tabs>
    </w:pPr>
    <w:rPr>
      <w:rFonts w:asciiTheme="minorHAnsi" w:hAnsiTheme="minorHAnsi" w:eastAsiaTheme="minorEastAsia" w:cstheme="minorBidi"/>
      <w:b/>
      <w:lang w:eastAsia="en-US"/>
    </w:rPr>
  </w:style>
  <w:style w:type="paragraph" w:styleId="957">
    <w:name w:val="toc 3"/>
    <w:basedOn w:val="908"/>
    <w:next w:val="908"/>
    <w:uiPriority w:val="39"/>
    <w:unhideWhenUsed/>
    <w:qFormat/>
    <w:pPr>
      <w:ind w:left="426"/>
      <w:spacing w:after="100"/>
      <w:tabs>
        <w:tab w:val="right" w:pos="9344" w:leader="dot"/>
      </w:tabs>
    </w:pPr>
    <w:rPr>
      <w:rFonts w:asciiTheme="minorHAnsi" w:hAnsiTheme="minorHAnsi" w:eastAsiaTheme="minorEastAsia" w:cstheme="minorBidi"/>
      <w:lang w:eastAsia="en-US"/>
    </w:rPr>
  </w:style>
  <w:style w:type="character" w:styleId="958" w:customStyle="1">
    <w:name w:val="Заголовок 3 Знак"/>
    <w:basedOn w:val="912"/>
    <w:link w:val="911"/>
    <w:rPr>
      <w:rFonts w:asciiTheme="majorHAnsi" w:hAnsiTheme="majorHAnsi" w:eastAsiaTheme="majorEastAsia" w:cstheme="majorBidi"/>
      <w:b/>
      <w:bCs/>
      <w:color w:val="4f81bd" w:themeColor="accent1"/>
      <w:sz w:val="22"/>
      <w:szCs w:val="22"/>
    </w:rPr>
  </w:style>
  <w:style w:type="paragraph" w:styleId="959" w:customStyle="1">
    <w:name w:val="Style1"/>
    <w:basedOn w:val="908"/>
    <w:pPr>
      <w:jc w:val="both"/>
      <w:spacing w:after="0" w:line="418" w:lineRule="exact"/>
      <w:widowControl w:val="off"/>
    </w:pPr>
    <w:rPr>
      <w:rFonts w:ascii="Times New Roman" w:hAnsi="Times New Roman"/>
      <w:sz w:val="24"/>
      <w:szCs w:val="24"/>
    </w:rPr>
  </w:style>
  <w:style w:type="paragraph" w:styleId="960" w:customStyle="1">
    <w:name w:val="pt-a0-000016"/>
    <w:basedOn w:val="9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961" w:customStyle="1">
    <w:name w:val="pt-a1-000024"/>
    <w:basedOn w:val="912"/>
  </w:style>
  <w:style w:type="paragraph" w:styleId="962" w:customStyle="1">
    <w:name w:val="pt-000034"/>
    <w:basedOn w:val="9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963" w:customStyle="1">
    <w:name w:val="pt-000035"/>
    <w:basedOn w:val="912"/>
  </w:style>
  <w:style w:type="paragraph" w:styleId="964" w:customStyle="1">
    <w:name w:val="pt-a0-000064"/>
    <w:basedOn w:val="9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965" w:customStyle="1">
    <w:name w:val="pt-consplusnormal-000048"/>
    <w:basedOn w:val="9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966" w:customStyle="1">
    <w:name w:val="pt-a0-000024"/>
    <w:basedOn w:val="912"/>
  </w:style>
  <w:style w:type="paragraph" w:styleId="967" w:customStyle="1">
    <w:name w:val="pt-consplusnormal"/>
    <w:basedOn w:val="9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968" w:customStyle="1">
    <w:name w:val="pt-a0-000010"/>
    <w:basedOn w:val="912"/>
  </w:style>
  <w:style w:type="character" w:styleId="969" w:customStyle="1">
    <w:name w:val="pt-a0-000035"/>
    <w:basedOn w:val="912"/>
  </w:style>
  <w:style w:type="paragraph" w:styleId="970" w:customStyle="1">
    <w:name w:val="pt-consplustitle-000053"/>
    <w:basedOn w:val="9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971" w:customStyle="1">
    <w:name w:val="pt-a-000056"/>
    <w:basedOn w:val="9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972" w:customStyle="1">
    <w:name w:val="pt-a0-000037"/>
    <w:basedOn w:val="912"/>
  </w:style>
  <w:style w:type="paragraph" w:styleId="973" w:customStyle="1">
    <w:name w:val="pt-a-000043"/>
    <w:basedOn w:val="9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974" w:customStyle="1">
    <w:name w:val="pt-a-000016"/>
    <w:basedOn w:val="9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975" w:customStyle="1">
    <w:name w:val="pt-a0-000025"/>
    <w:basedOn w:val="912"/>
  </w:style>
  <w:style w:type="paragraph" w:styleId="976" w:customStyle="1">
    <w:name w:val="pt-a-000038"/>
    <w:basedOn w:val="9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977" w:customStyle="1">
    <w:name w:val="fontstyle01"/>
    <w:rPr>
      <w:rFonts w:hint="default" w:ascii="ZapfDingbatsITC" w:hAnsi="ZapfDingbatsITC"/>
      <w:b w:val="0"/>
      <w:bCs w:val="0"/>
      <w:i w:val="0"/>
      <w:iCs w:val="0"/>
      <w:color w:val="231f20"/>
      <w:sz w:val="16"/>
      <w:szCs w:val="16"/>
    </w:rPr>
  </w:style>
  <w:style w:type="paragraph" w:styleId="978" w:customStyle="1">
    <w:name w:val="Style7"/>
    <w:basedOn w:val="908"/>
    <w:uiPriority w:val="99"/>
    <w:pPr>
      <w:spacing w:after="0" w:line="252" w:lineRule="exact"/>
      <w:widowControl w:val="off"/>
    </w:pPr>
    <w:rPr>
      <w:rFonts w:ascii="Times New Roman" w:hAnsi="Times New Roman"/>
      <w:sz w:val="24"/>
      <w:szCs w:val="24"/>
    </w:rPr>
  </w:style>
  <w:style w:type="paragraph" w:styleId="979">
    <w:name w:val="No Spacing"/>
    <w:uiPriority w:val="1"/>
    <w:qFormat/>
    <w:rPr>
      <w:sz w:val="22"/>
      <w:szCs w:val="22"/>
      <w:lang w:eastAsia="en-US"/>
    </w:rPr>
  </w:style>
  <w:style w:type="character" w:styleId="980" w:customStyle="1">
    <w:name w:val="fontstyle21"/>
    <w:basedOn w:val="912"/>
    <w:rPr>
      <w:rFonts w:hint="default"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styleId="981" w:customStyle="1">
    <w:name w:val="fontstyle31"/>
    <w:basedOn w:val="912"/>
    <w:rPr>
      <w:rFonts w:hint="default" w:ascii="Calibri" w:hAnsi="Calibri"/>
      <w:b w:val="0"/>
      <w:bCs w:val="0"/>
      <w:i w:val="0"/>
      <w:iCs w:val="0"/>
      <w:color w:val="000000"/>
      <w:sz w:val="22"/>
      <w:szCs w:val="22"/>
    </w:rPr>
  </w:style>
  <w:style w:type="paragraph" w:styleId="982" w:customStyle="1">
    <w:name w:val="HeadDoc"/>
    <w:link w:val="983"/>
    <w:uiPriority w:val="99"/>
    <w:pPr>
      <w:jc w:val="both"/>
      <w:keepLines/>
    </w:pPr>
    <w:rPr>
      <w:rFonts w:ascii="Times New Roman" w:hAnsi="Times New Roman" w:eastAsia="Times New Roman"/>
      <w:sz w:val="28"/>
    </w:rPr>
  </w:style>
  <w:style w:type="character" w:styleId="983" w:customStyle="1">
    <w:name w:val="HeadDoc Знак"/>
    <w:basedOn w:val="912"/>
    <w:link w:val="982"/>
    <w:uiPriority w:val="99"/>
    <w:rPr>
      <w:rFonts w:ascii="Times New Roman" w:hAnsi="Times New Roman" w:eastAsia="Times New Roman"/>
      <w:sz w:val="28"/>
    </w:rPr>
  </w:style>
  <w:style w:type="character" w:styleId="984" w:customStyle="1">
    <w:name w:val="Font Style12"/>
    <w:rPr>
      <w:rFonts w:ascii="Times New Roman" w:hAnsi="Times New Roman" w:cs="Times New Roman"/>
      <w:sz w:val="26"/>
      <w:szCs w:val="26"/>
    </w:rPr>
  </w:style>
  <w:style w:type="paragraph" w:styleId="985" w:customStyle="1">
    <w:name w:val="Абзац списка1"/>
    <w:basedOn w:val="908"/>
    <w:pPr>
      <w:contextualSpacing/>
      <w:ind w:left="720"/>
    </w:pPr>
    <w:rPr>
      <w:lang w:eastAsia="en-US"/>
    </w:rPr>
  </w:style>
  <w:style w:type="paragraph" w:styleId="986" w:customStyle="1">
    <w:name w:val="Style8"/>
    <w:basedOn w:val="908"/>
    <w:uiPriority w:val="99"/>
    <w:pPr>
      <w:spacing w:after="0" w:line="240" w:lineRule="auto"/>
      <w:widowControl w:val="off"/>
    </w:pPr>
    <w:rPr>
      <w:rFonts w:ascii="Times New Roman" w:hAnsi="Times New Roman" w:eastAsiaTheme="minorEastAsia"/>
      <w:sz w:val="24"/>
      <w:szCs w:val="24"/>
    </w:rPr>
  </w:style>
  <w:style w:type="paragraph" w:styleId="987" w:customStyle="1">
    <w:name w:val="Style14"/>
    <w:basedOn w:val="908"/>
    <w:uiPriority w:val="99"/>
    <w:pPr>
      <w:ind w:firstLine="562"/>
      <w:jc w:val="both"/>
      <w:spacing w:after="0" w:line="341" w:lineRule="exact"/>
      <w:widowControl w:val="off"/>
    </w:pPr>
    <w:rPr>
      <w:rFonts w:ascii="Times New Roman" w:hAnsi="Times New Roman" w:eastAsiaTheme="minorEastAsia"/>
      <w:sz w:val="24"/>
      <w:szCs w:val="24"/>
    </w:rPr>
  </w:style>
  <w:style w:type="paragraph" w:styleId="988" w:customStyle="1">
    <w:name w:val="Style15"/>
    <w:basedOn w:val="908"/>
    <w:uiPriority w:val="99"/>
    <w:pPr>
      <w:ind w:firstLine="566"/>
      <w:jc w:val="both"/>
      <w:spacing w:after="0" w:line="322" w:lineRule="exact"/>
      <w:widowControl w:val="off"/>
    </w:pPr>
    <w:rPr>
      <w:rFonts w:ascii="Times New Roman" w:hAnsi="Times New Roman" w:eastAsiaTheme="minorEastAsia"/>
      <w:sz w:val="24"/>
      <w:szCs w:val="24"/>
    </w:rPr>
  </w:style>
  <w:style w:type="character" w:styleId="989" w:customStyle="1">
    <w:name w:val="Font Style18"/>
    <w:basedOn w:val="912"/>
    <w:uiPriority w:val="99"/>
    <w:rPr>
      <w:rFonts w:ascii="Times New Roman" w:hAnsi="Times New Roman" w:cs="Times New Roman"/>
      <w:b/>
      <w:bCs/>
      <w:sz w:val="22"/>
      <w:szCs w:val="22"/>
    </w:rPr>
  </w:style>
  <w:style w:type="character" w:styleId="990" w:customStyle="1">
    <w:name w:val="Font Style20"/>
    <w:basedOn w:val="912"/>
    <w:uiPriority w:val="99"/>
    <w:rPr>
      <w:rFonts w:ascii="Times New Roman" w:hAnsi="Times New Roman" w:cs="Times New Roman"/>
      <w:sz w:val="26"/>
      <w:szCs w:val="26"/>
    </w:rPr>
  </w:style>
  <w:style w:type="character" w:styleId="991" w:customStyle="1">
    <w:name w:val="Font Style21"/>
    <w:basedOn w:val="912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992" w:customStyle="1">
    <w:name w:val="Font Style22"/>
    <w:basedOn w:val="912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993" w:customStyle="1">
    <w:name w:val="Font Style23"/>
    <w:basedOn w:val="912"/>
    <w:uiPriority w:val="99"/>
    <w:rPr>
      <w:rFonts w:ascii="Times New Roman" w:hAnsi="Times New Roman" w:cs="Times New Roman"/>
      <w:i/>
      <w:iCs/>
      <w:sz w:val="26"/>
      <w:szCs w:val="26"/>
    </w:rPr>
  </w:style>
  <w:style w:type="character" w:styleId="994" w:customStyle="1">
    <w:name w:val="Font Style24"/>
    <w:basedOn w:val="912"/>
    <w:uiPriority w:val="99"/>
    <w:rPr>
      <w:rFonts w:ascii="Times New Roman" w:hAnsi="Times New Roman" w:cs="Times New Roman"/>
      <w:b/>
      <w:bCs/>
      <w:sz w:val="26"/>
      <w:szCs w:val="26"/>
    </w:rPr>
  </w:style>
  <w:style w:type="paragraph" w:styleId="995" w:customStyle="1">
    <w:name w:val="Содержимое таблицы"/>
    <w:basedOn w:val="908"/>
    <w:pPr>
      <w:spacing w:after="0" w:line="240" w:lineRule="auto"/>
      <w:widowControl w:val="off"/>
      <w:suppressLineNumbers/>
    </w:pPr>
    <w:rPr>
      <w:rFonts w:ascii="Times New Roman" w:hAnsi="Times New Roman"/>
      <w:sz w:val="24"/>
      <w:szCs w:val="20"/>
      <w:lang w:val="en-US" w:eastAsia="ar-SA"/>
    </w:rPr>
  </w:style>
  <w:style w:type="character" w:styleId="996" w:customStyle="1">
    <w:name w:val="Font Style27"/>
    <w:basedOn w:val="912"/>
    <w:uiPriority w:val="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71348-45FA-42FB-BBC5-6928C2D5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*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kuzmicheva</dc:creator>
  <cp:revision>19</cp:revision>
  <dcterms:created xsi:type="dcterms:W3CDTF">2022-05-04T14:02:00Z</dcterms:created>
  <dcterms:modified xsi:type="dcterms:W3CDTF">2024-12-05T11:58:56Z</dcterms:modified>
</cp:coreProperties>
</file>